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pPr w:leftFromText="141" w:rightFromText="141" w:vertAnchor="text" w:horzAnchor="margin" w:tblpY="1144"/>
        <w:tblW w:w="0" w:type="auto"/>
        <w:tblLook w:val="04A0" w:firstRow="1" w:lastRow="0" w:firstColumn="1" w:lastColumn="0" w:noHBand="0" w:noVBand="1"/>
      </w:tblPr>
      <w:tblGrid>
        <w:gridCol w:w="4531"/>
        <w:gridCol w:w="4531"/>
      </w:tblGrid>
      <w:tr w:rsidR="00B41BAA" w:rsidRPr="00CC3646" w:rsidTr="00B41BAA">
        <w:tc>
          <w:tcPr>
            <w:tcW w:w="4531" w:type="dxa"/>
          </w:tcPr>
          <w:p w:rsidR="00B41BAA" w:rsidRPr="00CC3646" w:rsidRDefault="00B41BAA" w:rsidP="00B41BAA">
            <w:pPr>
              <w:rPr>
                <w:rFonts w:ascii="Times New Roman" w:hAnsi="Times New Roman" w:cs="Times New Roman"/>
                <w:b/>
                <w:sz w:val="24"/>
                <w:szCs w:val="24"/>
              </w:rPr>
            </w:pPr>
            <w:bookmarkStart w:id="0" w:name="_GoBack"/>
            <w:bookmarkEnd w:id="0"/>
            <w:r w:rsidRPr="00CC3646">
              <w:rPr>
                <w:rFonts w:ascii="Times New Roman" w:hAnsi="Times New Roman" w:cs="Times New Roman"/>
                <w:b/>
                <w:sz w:val="24"/>
                <w:szCs w:val="24"/>
              </w:rPr>
              <w:t>MEVCUT DÜZENLEME</w:t>
            </w:r>
          </w:p>
        </w:tc>
        <w:tc>
          <w:tcPr>
            <w:tcW w:w="4531" w:type="dxa"/>
          </w:tcPr>
          <w:p w:rsidR="00B41BAA" w:rsidRPr="00CC3646" w:rsidRDefault="00B41BAA" w:rsidP="00B41BAA">
            <w:pPr>
              <w:rPr>
                <w:rFonts w:ascii="Times New Roman" w:hAnsi="Times New Roman" w:cs="Times New Roman"/>
                <w:b/>
                <w:sz w:val="24"/>
                <w:szCs w:val="24"/>
              </w:rPr>
            </w:pPr>
            <w:r w:rsidRPr="00CC3646">
              <w:rPr>
                <w:rFonts w:ascii="Times New Roman" w:hAnsi="Times New Roman" w:cs="Times New Roman"/>
                <w:b/>
                <w:sz w:val="24"/>
                <w:szCs w:val="24"/>
              </w:rPr>
              <w:t>DEĞİŞİKLİK TASLAĞI</w:t>
            </w:r>
          </w:p>
        </w:tc>
      </w:tr>
      <w:tr w:rsidR="00B41BAA" w:rsidRPr="00CC3646" w:rsidTr="00B41BAA">
        <w:tc>
          <w:tcPr>
            <w:tcW w:w="4531" w:type="dxa"/>
          </w:tcPr>
          <w:p w:rsidR="00B41BAA" w:rsidRPr="00CC3646" w:rsidRDefault="00B41BAA" w:rsidP="00B41BAA">
            <w:pPr>
              <w:rPr>
                <w:rFonts w:ascii="Times New Roman" w:hAnsi="Times New Roman" w:cs="Times New Roman"/>
                <w:sz w:val="24"/>
                <w:szCs w:val="24"/>
              </w:rPr>
            </w:pPr>
            <w:r w:rsidRPr="00CC3646">
              <w:rPr>
                <w:rFonts w:ascii="Times New Roman" w:hAnsi="Times New Roman" w:cs="Times New Roman"/>
                <w:b/>
                <w:bCs/>
                <w:sz w:val="24"/>
                <w:szCs w:val="24"/>
              </w:rPr>
              <w:t>Anlaşma gücü</w:t>
            </w:r>
          </w:p>
          <w:p w:rsidR="00B41BAA" w:rsidRPr="00CC3646" w:rsidRDefault="00B41BAA" w:rsidP="00B41BAA">
            <w:pPr>
              <w:jc w:val="both"/>
              <w:rPr>
                <w:rFonts w:ascii="Times New Roman" w:hAnsi="Times New Roman" w:cs="Times New Roman"/>
                <w:b/>
                <w:bCs/>
                <w:sz w:val="24"/>
                <w:szCs w:val="24"/>
              </w:rPr>
            </w:pPr>
            <w:r w:rsidRPr="00CC3646">
              <w:rPr>
                <w:rFonts w:ascii="Times New Roman" w:hAnsi="Times New Roman" w:cs="Times New Roman"/>
                <w:b/>
                <w:bCs/>
                <w:sz w:val="24"/>
                <w:szCs w:val="24"/>
              </w:rPr>
              <w:t xml:space="preserve">MADDE 7 </w:t>
            </w:r>
          </w:p>
          <w:p w:rsidR="00B41BAA" w:rsidRPr="00CC3646" w:rsidRDefault="00B41BAA" w:rsidP="00B41BAA">
            <w:pPr>
              <w:jc w:val="both"/>
              <w:rPr>
                <w:rFonts w:ascii="Times New Roman" w:hAnsi="Times New Roman" w:cs="Times New Roman"/>
                <w:sz w:val="24"/>
                <w:szCs w:val="24"/>
              </w:rPr>
            </w:pPr>
            <w:r w:rsidRPr="00CC3646">
              <w:rPr>
                <w:rFonts w:ascii="Times New Roman" w:hAnsi="Times New Roman" w:cs="Times New Roman"/>
                <w:sz w:val="24"/>
                <w:szCs w:val="24"/>
              </w:rPr>
              <w:t>(9) Üretim lisansı sahiplerinin veriş yönündeki anlaşma güçleri lisanslarına derç edilmiş olan kurulu güç değeri ile aynı olmalıdır. Üretim lisansı sahiplerinin veriş yönündeki anlaşma gücü değişiklikleri lisans tadilleri ile uyumlu olacak şekilde bu maddede belirtilen sürelerle sınırlı olmaksızın gerçekleştirilir</w:t>
            </w:r>
          </w:p>
        </w:tc>
        <w:tc>
          <w:tcPr>
            <w:tcW w:w="4531" w:type="dxa"/>
          </w:tcPr>
          <w:p w:rsidR="00B41BAA" w:rsidRPr="00CC3646" w:rsidRDefault="00B41BAA" w:rsidP="00B41BAA">
            <w:pPr>
              <w:rPr>
                <w:rFonts w:ascii="Times New Roman" w:hAnsi="Times New Roman" w:cs="Times New Roman"/>
                <w:sz w:val="24"/>
                <w:szCs w:val="24"/>
              </w:rPr>
            </w:pPr>
            <w:r w:rsidRPr="00CC3646">
              <w:rPr>
                <w:rFonts w:ascii="Times New Roman" w:hAnsi="Times New Roman" w:cs="Times New Roman"/>
                <w:b/>
                <w:bCs/>
                <w:sz w:val="24"/>
                <w:szCs w:val="24"/>
              </w:rPr>
              <w:t>Anlaşma gücü</w:t>
            </w:r>
          </w:p>
          <w:p w:rsidR="00B41BAA" w:rsidRPr="00CC3646" w:rsidRDefault="00B41BAA" w:rsidP="00B41BAA">
            <w:pPr>
              <w:rPr>
                <w:rFonts w:ascii="Times New Roman" w:hAnsi="Times New Roman" w:cs="Times New Roman"/>
                <w:b/>
                <w:bCs/>
                <w:sz w:val="24"/>
                <w:szCs w:val="24"/>
              </w:rPr>
            </w:pPr>
            <w:r w:rsidRPr="00CC3646">
              <w:rPr>
                <w:rFonts w:ascii="Times New Roman" w:hAnsi="Times New Roman" w:cs="Times New Roman"/>
                <w:b/>
                <w:bCs/>
                <w:sz w:val="24"/>
                <w:szCs w:val="24"/>
              </w:rPr>
              <w:t xml:space="preserve">MADDE 7 </w:t>
            </w:r>
          </w:p>
          <w:p w:rsidR="00B41BAA" w:rsidRPr="00462E9E" w:rsidRDefault="00B41BAA" w:rsidP="00B41BAA">
            <w:pPr>
              <w:jc w:val="both"/>
              <w:rPr>
                <w:rFonts w:ascii="Times New Roman" w:hAnsi="Times New Roman" w:cs="Times New Roman"/>
                <w:color w:val="C00000"/>
                <w:sz w:val="24"/>
                <w:szCs w:val="24"/>
                <w:u w:val="single"/>
              </w:rPr>
            </w:pPr>
            <w:r w:rsidRPr="00CC3646">
              <w:rPr>
                <w:rFonts w:ascii="Times New Roman" w:hAnsi="Times New Roman" w:cs="Times New Roman"/>
                <w:sz w:val="24"/>
                <w:szCs w:val="24"/>
              </w:rPr>
              <w:t>(9) Üretim lisansı sahiplerinin veriş yönündeki anlaşma güçleri lisanslarına derç edilmiş olan kurulu güç değeri ile aynı olmalıdır. Üretim lisansı sahiplerinin veriş yönündeki anlaşma gücü değişiklikleri lisans tadilleri ile uyumlu olacak şekilde bu maddede belirtilen sürelerle sınırlı olmaksızın gerçekleştirilir</w:t>
            </w:r>
            <w:r w:rsidRPr="00462E9E">
              <w:rPr>
                <w:rFonts w:ascii="Times New Roman" w:hAnsi="Times New Roman" w:cs="Times New Roman"/>
                <w:color w:val="C00000"/>
                <w:sz w:val="24"/>
                <w:szCs w:val="24"/>
                <w:u w:val="single"/>
              </w:rPr>
              <w:t>.   Kömür ve/veya doğal gaza dayalı elektrik üretim tesislerine ilişkin lisans sahipleri, lisanlarına derç edilmiş olan kurulu gücü geçmemek üzere, veriş yönündeki anlaşma güçlerini değiştirmek üzere yılda en fazla iki kez değişiklik talebinde bulunabilir. Ancak, bu kapsamdaki anlaşma gücü değişiklik talebi, kurulu güce ilişkin son lisans tadilinden önceki kurulu güçten daha düşük güçte olamaz.</w:t>
            </w:r>
          </w:p>
          <w:p w:rsidR="00B41BAA" w:rsidRPr="00CC3646" w:rsidRDefault="00B41BAA" w:rsidP="00B41BAA">
            <w:pPr>
              <w:jc w:val="both"/>
              <w:rPr>
                <w:rFonts w:ascii="Times New Roman" w:hAnsi="Times New Roman" w:cs="Times New Roman"/>
                <w:sz w:val="24"/>
                <w:szCs w:val="24"/>
              </w:rPr>
            </w:pPr>
          </w:p>
        </w:tc>
      </w:tr>
    </w:tbl>
    <w:p w:rsidR="00911207" w:rsidRPr="00462E9E" w:rsidRDefault="00911207" w:rsidP="00462E9E">
      <w:pPr>
        <w:jc w:val="center"/>
        <w:rPr>
          <w:rFonts w:ascii="Times New Roman" w:hAnsi="Times New Roman" w:cs="Times New Roman"/>
          <w:b/>
          <w:sz w:val="24"/>
          <w:szCs w:val="24"/>
        </w:rPr>
      </w:pPr>
      <w:r w:rsidRPr="00CC3646">
        <w:rPr>
          <w:rFonts w:ascii="Times New Roman" w:hAnsi="Times New Roman" w:cs="Times New Roman"/>
          <w:b/>
          <w:sz w:val="24"/>
          <w:szCs w:val="24"/>
        </w:rPr>
        <w:t xml:space="preserve">ELEKTRİK PİYASASI BAĞLANTI VE SİSTEM KULLANIM YÖNETMELİĞİNDE DEĞİŞİKLİK YAPILMASINA İLİŞKİN </w:t>
      </w:r>
      <w:r w:rsidR="00462E9E">
        <w:rPr>
          <w:rFonts w:ascii="Times New Roman" w:hAnsi="Times New Roman" w:cs="Times New Roman"/>
          <w:b/>
          <w:sz w:val="24"/>
          <w:szCs w:val="24"/>
        </w:rPr>
        <w:t xml:space="preserve">YÖNETMELİK </w:t>
      </w:r>
      <w:r w:rsidRPr="00CC3646">
        <w:rPr>
          <w:rFonts w:ascii="Times New Roman" w:hAnsi="Times New Roman" w:cs="Times New Roman"/>
          <w:b/>
          <w:sz w:val="24"/>
          <w:szCs w:val="24"/>
        </w:rPr>
        <w:t>TASLA</w:t>
      </w:r>
      <w:r w:rsidR="00462E9E">
        <w:rPr>
          <w:rFonts w:ascii="Times New Roman" w:hAnsi="Times New Roman" w:cs="Times New Roman"/>
          <w:b/>
          <w:sz w:val="24"/>
          <w:szCs w:val="24"/>
        </w:rPr>
        <w:t xml:space="preserve">ĞINA </w:t>
      </w:r>
      <w:r w:rsidR="00B41BAA">
        <w:rPr>
          <w:rFonts w:ascii="Times New Roman" w:hAnsi="Times New Roman" w:cs="Times New Roman"/>
          <w:b/>
          <w:sz w:val="24"/>
          <w:szCs w:val="24"/>
        </w:rPr>
        <w:t xml:space="preserve">DAİR </w:t>
      </w:r>
      <w:r w:rsidR="00462E9E">
        <w:rPr>
          <w:rFonts w:ascii="Times New Roman" w:hAnsi="Times New Roman" w:cs="Times New Roman"/>
          <w:b/>
          <w:sz w:val="24"/>
          <w:szCs w:val="24"/>
        </w:rPr>
        <w:t>İKİLİ TABLO</w:t>
      </w:r>
    </w:p>
    <w:sectPr w:rsidR="00911207" w:rsidRPr="00462E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altName w:val="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327"/>
    <w:rsid w:val="003D6253"/>
    <w:rsid w:val="00462E9E"/>
    <w:rsid w:val="005C65A9"/>
    <w:rsid w:val="00911207"/>
    <w:rsid w:val="00B41BAA"/>
    <w:rsid w:val="00CC3646"/>
    <w:rsid w:val="00D133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298DA"/>
  <w15:chartTrackingRefBased/>
  <w15:docId w15:val="{9EE7D0FA-1DCE-4AFC-BF2E-A7228872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11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1207"/>
    <w:rPr>
      <w:sz w:val="16"/>
      <w:szCs w:val="16"/>
    </w:rPr>
  </w:style>
  <w:style w:type="paragraph" w:styleId="AklamaMetni">
    <w:name w:val="annotation text"/>
    <w:basedOn w:val="Normal"/>
    <w:link w:val="AklamaMetniChar"/>
    <w:uiPriority w:val="99"/>
    <w:semiHidden/>
    <w:unhideWhenUsed/>
    <w:rsid w:val="00911207"/>
    <w:pPr>
      <w:spacing w:after="0" w:line="240" w:lineRule="auto"/>
      <w:ind w:firstLine="851"/>
      <w:jc w:val="both"/>
    </w:pPr>
    <w:rPr>
      <w:rFonts w:ascii="Calibri" w:eastAsiaTheme="minorEastAsia" w:hAnsi="Calibri" w:cs="Calibri"/>
      <w:sz w:val="20"/>
      <w:szCs w:val="20"/>
      <w:lang w:eastAsia="tr-TR"/>
    </w:rPr>
  </w:style>
  <w:style w:type="character" w:customStyle="1" w:styleId="AklamaMetniChar">
    <w:name w:val="Açıklama Metni Char"/>
    <w:basedOn w:val="VarsaylanParagrafYazTipi"/>
    <w:link w:val="AklamaMetni"/>
    <w:uiPriority w:val="99"/>
    <w:semiHidden/>
    <w:rsid w:val="00911207"/>
    <w:rPr>
      <w:rFonts w:ascii="Calibri" w:eastAsiaTheme="minorEastAsia" w:hAnsi="Calibri" w:cs="Calibri"/>
      <w:sz w:val="20"/>
      <w:szCs w:val="20"/>
      <w:lang w:eastAsia="tr-TR"/>
    </w:rPr>
  </w:style>
  <w:style w:type="paragraph" w:styleId="BalonMetni">
    <w:name w:val="Balloon Text"/>
    <w:basedOn w:val="Normal"/>
    <w:link w:val="BalonMetniChar"/>
    <w:uiPriority w:val="99"/>
    <w:semiHidden/>
    <w:unhideWhenUsed/>
    <w:rsid w:val="0091120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1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185</Words>
  <Characters>1057</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Mehtap ALPER SAĞLAM</dc:creator>
  <cp:keywords/>
  <dc:description/>
  <cp:lastModifiedBy>Mehtap ALPER SAĞLAM</cp:lastModifiedBy>
  <cp:revision>8</cp:revision>
  <dcterms:created xsi:type="dcterms:W3CDTF">2021-12-06T13:54:00Z</dcterms:created>
  <dcterms:modified xsi:type="dcterms:W3CDTF">2021-12-07T19:49:00Z</dcterms:modified>
</cp:coreProperties>
</file>