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DCACFE" w14:textId="77777777" w:rsidR="00A070AE" w:rsidRPr="00E85184" w:rsidRDefault="00A070AE" w:rsidP="00A070AE">
      <w:pPr>
        <w:jc w:val="center"/>
        <w:rPr>
          <w:b/>
        </w:rPr>
      </w:pPr>
      <w:r w:rsidRPr="00E85184">
        <w:rPr>
          <w:b/>
        </w:rPr>
        <w:t>SON KAYNAK TEDARİK TARİFESİNİN DÜZENLENMESİ HAKKINDA T</w:t>
      </w:r>
      <w:r>
        <w:rPr>
          <w:b/>
        </w:rPr>
        <w:t>EBLİĞ’İN UYGULANMASINA YÖNELİK 2</w:t>
      </w:r>
      <w:r w:rsidRPr="00E85184">
        <w:rPr>
          <w:b/>
        </w:rPr>
        <w:t xml:space="preserve"> NOLU AÇIKLAMA</w:t>
      </w:r>
    </w:p>
    <w:p w14:paraId="65E5382E" w14:textId="77777777" w:rsidR="00F12F64" w:rsidRPr="00B70D4D" w:rsidRDefault="00F12F64" w:rsidP="006F70EA">
      <w:pPr>
        <w:ind w:left="567" w:hanging="567"/>
        <w:rPr>
          <w:rFonts w:eastAsia="Times New Roman" w:cs="Times New Roman"/>
          <w:color w:val="000000"/>
          <w:szCs w:val="24"/>
          <w:lang w:eastAsia="tr-TR"/>
        </w:rPr>
      </w:pPr>
    </w:p>
    <w:p w14:paraId="25A9277C" w14:textId="77777777" w:rsidR="00F12F64" w:rsidRDefault="00F12F64" w:rsidP="006F70EA">
      <w:pPr>
        <w:ind w:left="567" w:hanging="567"/>
      </w:pPr>
    </w:p>
    <w:p w14:paraId="47AEA22E" w14:textId="2440DDA0" w:rsidR="00F12F64" w:rsidRPr="00F12F64" w:rsidRDefault="00F12F64" w:rsidP="006F70EA">
      <w:pPr>
        <w:rPr>
          <w:szCs w:val="24"/>
        </w:rPr>
      </w:pPr>
      <w:r>
        <w:rPr>
          <w:szCs w:val="24"/>
        </w:rPr>
        <w:t>S</w:t>
      </w:r>
      <w:r w:rsidRPr="00EA0C0E">
        <w:rPr>
          <w:rFonts w:cs="Times New Roman"/>
          <w:color w:val="000000"/>
          <w:szCs w:val="24"/>
        </w:rPr>
        <w:t>on Kaynak Tedarik Tarifesinin Düzenlenmesi Hakkında Tebliğ</w:t>
      </w:r>
      <w:r w:rsidR="00E32916">
        <w:rPr>
          <w:rFonts w:cs="Times New Roman"/>
          <w:color w:val="000000"/>
          <w:szCs w:val="24"/>
        </w:rPr>
        <w:t>(Tebliğ)</w:t>
      </w:r>
      <w:r w:rsidRPr="00EA0C0E">
        <w:rPr>
          <w:rFonts w:cs="Times New Roman"/>
          <w:color w:val="000000"/>
          <w:szCs w:val="24"/>
        </w:rPr>
        <w:t>’in uygulanmasına</w:t>
      </w:r>
      <w:r>
        <w:rPr>
          <w:rFonts w:cs="Times New Roman"/>
          <w:color w:val="000000"/>
          <w:szCs w:val="24"/>
        </w:rPr>
        <w:t xml:space="preserve"> </w:t>
      </w:r>
      <w:r w:rsidR="003313D4">
        <w:t xml:space="preserve">yönelik </w:t>
      </w:r>
      <w:r w:rsidR="00107CA9">
        <w:t xml:space="preserve">daha önce yayımlanan 1 </w:t>
      </w:r>
      <w:proofErr w:type="spellStart"/>
      <w:r w:rsidR="00107CA9">
        <w:t>Nolu</w:t>
      </w:r>
      <w:proofErr w:type="spellEnd"/>
      <w:r w:rsidR="00107CA9">
        <w:t xml:space="preserve"> açıklamanın devamı niteliğindeki bu dokümanda </w:t>
      </w:r>
      <w:r w:rsidR="003313D4">
        <w:rPr>
          <w:rFonts w:cs="Times New Roman"/>
          <w:color w:val="000000"/>
          <w:szCs w:val="24"/>
        </w:rPr>
        <w:t>Kurumumuza gelen başvurular</w:t>
      </w:r>
      <w:r>
        <w:t xml:space="preserve"> </w:t>
      </w:r>
      <w:r w:rsidR="003313D4">
        <w:t xml:space="preserve">kapsamında </w:t>
      </w:r>
      <w:r w:rsidR="00107CA9">
        <w:t xml:space="preserve">ilave </w:t>
      </w:r>
      <w:r w:rsidR="005A6D4F">
        <w:t>birtakım hususlara</w:t>
      </w:r>
      <w:r>
        <w:t xml:space="preserve"> ilişkin açıklamalar yer almaktadır</w:t>
      </w:r>
      <w:r w:rsidR="00107CA9">
        <w:t>.</w:t>
      </w:r>
    </w:p>
    <w:p w14:paraId="11909435" w14:textId="77777777" w:rsidR="00EA611E" w:rsidRPr="00FD3629" w:rsidRDefault="00EA611E" w:rsidP="006F70EA">
      <w:pPr>
        <w:ind w:left="567" w:hanging="567"/>
        <w:rPr>
          <w:rFonts w:cs="Times New Roman"/>
          <w:szCs w:val="24"/>
        </w:rPr>
      </w:pPr>
    </w:p>
    <w:p w14:paraId="72927265" w14:textId="77777777" w:rsidR="00EA611E" w:rsidRPr="006F70EA" w:rsidRDefault="00EA611E" w:rsidP="006F70EA">
      <w:pPr>
        <w:pStyle w:val="ListeParagraf"/>
        <w:numPr>
          <w:ilvl w:val="0"/>
          <w:numId w:val="1"/>
        </w:numPr>
        <w:ind w:left="567" w:hanging="567"/>
        <w:rPr>
          <w:rFonts w:eastAsia="Times New Roman" w:cs="Times New Roman"/>
          <w:color w:val="000000"/>
          <w:szCs w:val="24"/>
          <w:lang w:eastAsia="tr-TR"/>
        </w:rPr>
      </w:pPr>
      <w:r w:rsidRPr="006F70EA">
        <w:rPr>
          <w:rFonts w:eastAsia="Times New Roman" w:cs="Times New Roman"/>
          <w:color w:val="000000"/>
          <w:szCs w:val="24"/>
          <w:lang w:eastAsia="tr-TR"/>
        </w:rPr>
        <w:t xml:space="preserve">Tüketicilere son kaynak tedarik tarifesinin uygulanmaya başlanacağı anın tespitinde görevli tedarik şirketlerinin ya da dağıtım şirketlerinin tüketicilere bilgilendirme yaptığı tarih esas alınmayacaktır. Nitekim Tebliğ'in 8 inci maddesinin üçüncü fıkrasının ilk cümlesindeki </w:t>
      </w:r>
      <w:r w:rsidRPr="006F70EA">
        <w:rPr>
          <w:rFonts w:eastAsia="Times New Roman" w:cs="Times New Roman"/>
          <w:i/>
          <w:color w:val="000000"/>
          <w:szCs w:val="24"/>
          <w:lang w:eastAsia="tr-TR"/>
        </w:rPr>
        <w:t>“</w:t>
      </w:r>
      <w:r w:rsidRPr="006F70EA">
        <w:rPr>
          <w:rFonts w:cs="Times New Roman"/>
          <w:i/>
          <w:szCs w:val="24"/>
        </w:rPr>
        <w:t xml:space="preserve">Yüksek tüketimli tüketiciler için belirlenen son kaynak tedarik tarifesi ilk kez yüksek tüketimli tüketici grubuna dâhil olan tüketiciler için, </w:t>
      </w:r>
      <w:r w:rsidRPr="006F70EA">
        <w:rPr>
          <w:rFonts w:eastAsia="Times New Roman" w:cs="Times New Roman"/>
          <w:i/>
          <w:spacing w:val="-1"/>
          <w:szCs w:val="24"/>
          <w:lang w:eastAsia="tr-TR"/>
        </w:rPr>
        <w:t>bir</w:t>
      </w:r>
      <w:r w:rsidRPr="006F70EA">
        <w:rPr>
          <w:rFonts w:eastAsia="Times New Roman" w:cs="Times New Roman"/>
          <w:i/>
          <w:spacing w:val="-12"/>
          <w:szCs w:val="24"/>
          <w:lang w:eastAsia="tr-TR"/>
        </w:rPr>
        <w:t xml:space="preserve"> </w:t>
      </w:r>
      <w:r w:rsidRPr="006F70EA">
        <w:rPr>
          <w:rFonts w:eastAsia="Times New Roman" w:cs="Times New Roman"/>
          <w:i/>
          <w:spacing w:val="-1"/>
          <w:szCs w:val="24"/>
          <w:lang w:eastAsia="tr-TR"/>
        </w:rPr>
        <w:t>önceki</w:t>
      </w:r>
      <w:r w:rsidRPr="006F70EA">
        <w:rPr>
          <w:rFonts w:eastAsia="Times New Roman" w:cs="Times New Roman"/>
          <w:i/>
          <w:spacing w:val="-12"/>
          <w:szCs w:val="24"/>
          <w:lang w:eastAsia="tr-TR"/>
        </w:rPr>
        <w:t xml:space="preserve"> </w:t>
      </w:r>
      <w:r w:rsidRPr="006F70EA">
        <w:rPr>
          <w:rFonts w:eastAsia="Times New Roman" w:cs="Times New Roman"/>
          <w:i/>
          <w:spacing w:val="-1"/>
          <w:szCs w:val="24"/>
          <w:lang w:eastAsia="tr-TR"/>
        </w:rPr>
        <w:t>takvim</w:t>
      </w:r>
      <w:r w:rsidRPr="006F70EA">
        <w:rPr>
          <w:rFonts w:eastAsia="Times New Roman" w:cs="Times New Roman"/>
          <w:i/>
          <w:spacing w:val="-12"/>
          <w:szCs w:val="24"/>
          <w:lang w:eastAsia="tr-TR"/>
        </w:rPr>
        <w:t xml:space="preserve"> </w:t>
      </w:r>
      <w:r w:rsidRPr="006F70EA">
        <w:rPr>
          <w:rFonts w:eastAsia="Times New Roman" w:cs="Times New Roman"/>
          <w:i/>
          <w:spacing w:val="-1"/>
          <w:szCs w:val="24"/>
          <w:lang w:eastAsia="tr-TR"/>
        </w:rPr>
        <w:t>yılında</w:t>
      </w:r>
      <w:r w:rsidRPr="006F70EA">
        <w:rPr>
          <w:rFonts w:eastAsia="Times New Roman" w:cs="Times New Roman"/>
          <w:i/>
          <w:spacing w:val="-12"/>
          <w:szCs w:val="24"/>
          <w:lang w:eastAsia="tr-TR"/>
        </w:rPr>
        <w:t xml:space="preserve"> </w:t>
      </w:r>
      <w:r w:rsidRPr="006F70EA">
        <w:rPr>
          <w:rFonts w:eastAsia="Times New Roman" w:cs="Times New Roman"/>
          <w:i/>
          <w:spacing w:val="-1"/>
          <w:szCs w:val="24"/>
          <w:lang w:eastAsia="tr-TR"/>
        </w:rPr>
        <w:t>veya</w:t>
      </w:r>
      <w:r w:rsidRPr="006F70EA">
        <w:rPr>
          <w:rFonts w:eastAsia="Times New Roman" w:cs="Times New Roman"/>
          <w:i/>
          <w:spacing w:val="-12"/>
          <w:szCs w:val="24"/>
          <w:lang w:eastAsia="tr-TR"/>
        </w:rPr>
        <w:t xml:space="preserve"> </w:t>
      </w:r>
      <w:r w:rsidRPr="006F70EA">
        <w:rPr>
          <w:rFonts w:eastAsia="Times New Roman" w:cs="Times New Roman"/>
          <w:i/>
          <w:spacing w:val="-1"/>
          <w:szCs w:val="24"/>
          <w:lang w:eastAsia="tr-TR"/>
        </w:rPr>
        <w:t>içinde</w:t>
      </w:r>
      <w:r w:rsidRPr="006F70EA">
        <w:rPr>
          <w:rFonts w:eastAsia="Times New Roman" w:cs="Times New Roman"/>
          <w:i/>
          <w:spacing w:val="-12"/>
          <w:szCs w:val="24"/>
          <w:lang w:eastAsia="tr-TR"/>
        </w:rPr>
        <w:t xml:space="preserve"> </w:t>
      </w:r>
      <w:r w:rsidRPr="006F70EA">
        <w:rPr>
          <w:rFonts w:eastAsia="Times New Roman" w:cs="Times New Roman"/>
          <w:i/>
          <w:spacing w:val="-1"/>
          <w:szCs w:val="24"/>
          <w:lang w:eastAsia="tr-TR"/>
        </w:rPr>
        <w:t>bulunulan</w:t>
      </w:r>
      <w:r w:rsidRPr="006F70EA">
        <w:rPr>
          <w:rFonts w:eastAsia="Times New Roman" w:cs="Times New Roman"/>
          <w:i/>
          <w:spacing w:val="-12"/>
          <w:szCs w:val="24"/>
          <w:lang w:eastAsia="tr-TR"/>
        </w:rPr>
        <w:t xml:space="preserve"> </w:t>
      </w:r>
      <w:r w:rsidRPr="006F70EA">
        <w:rPr>
          <w:rFonts w:eastAsia="Times New Roman" w:cs="Times New Roman"/>
          <w:i/>
          <w:spacing w:val="-1"/>
          <w:szCs w:val="24"/>
          <w:lang w:eastAsia="tr-TR"/>
        </w:rPr>
        <w:t>yılda,</w:t>
      </w:r>
      <w:r w:rsidRPr="006F70EA">
        <w:rPr>
          <w:rFonts w:eastAsia="Times New Roman" w:cs="Times New Roman"/>
          <w:i/>
          <w:spacing w:val="-12"/>
          <w:szCs w:val="24"/>
          <w:lang w:eastAsia="tr-TR"/>
        </w:rPr>
        <w:t xml:space="preserve"> </w:t>
      </w:r>
      <w:r w:rsidRPr="006F70EA">
        <w:rPr>
          <w:rFonts w:cs="Times New Roman"/>
          <w:i/>
          <w:szCs w:val="24"/>
        </w:rPr>
        <w:t xml:space="preserve">bu tüketici grubunu belirleyen tüketim miktarına </w:t>
      </w:r>
      <w:r w:rsidRPr="006F70EA">
        <w:rPr>
          <w:rFonts w:eastAsia="Times New Roman" w:cs="Times New Roman"/>
          <w:i/>
          <w:color w:val="000000"/>
          <w:szCs w:val="24"/>
          <w:lang w:eastAsia="tr-TR"/>
        </w:rPr>
        <w:t>erişildiği tarihi içeren takvim ayını takip eden üçüncü takvim ayının ilk gününden itibaren uygulanmaya başlar.”</w:t>
      </w:r>
      <w:r w:rsidRPr="006F70EA">
        <w:rPr>
          <w:rFonts w:eastAsia="Times New Roman" w:cs="Times New Roman"/>
          <w:color w:val="000000"/>
          <w:szCs w:val="24"/>
          <w:lang w:eastAsia="tr-TR"/>
        </w:rPr>
        <w:t xml:space="preserve"> ifadesinden de görüleceği üzere tüketicilerin belli bir tüketim miktarına erişmesi esas alınmaktadır. Ancak bu durum elektrik dağıtım ve görevli tedarik şirketlerine tüketicilerin mağduriyetine yol açacak şekilde bir bildirim esnekliği tanımamaktadır. Dolayısı ile 2018 yılının Ekim ayının sonuna kadar</w:t>
      </w:r>
      <w:r w:rsidR="00357BDC" w:rsidRPr="006F70EA">
        <w:rPr>
          <w:rFonts w:eastAsia="Times New Roman" w:cs="Times New Roman"/>
          <w:color w:val="000000"/>
          <w:szCs w:val="24"/>
          <w:lang w:eastAsia="tr-TR"/>
        </w:rPr>
        <w:t xml:space="preserve"> 2018 yılında</w:t>
      </w:r>
      <w:r w:rsidRPr="006F70EA">
        <w:rPr>
          <w:rFonts w:eastAsia="Times New Roman" w:cs="Times New Roman"/>
          <w:color w:val="000000"/>
          <w:szCs w:val="24"/>
          <w:lang w:eastAsia="tr-TR"/>
        </w:rPr>
        <w:t xml:space="preserve"> 10 milyon </w:t>
      </w:r>
      <w:proofErr w:type="spellStart"/>
      <w:r w:rsidRPr="006F70EA">
        <w:rPr>
          <w:rFonts w:eastAsia="Times New Roman" w:cs="Times New Roman"/>
          <w:color w:val="000000"/>
          <w:szCs w:val="24"/>
          <w:lang w:eastAsia="tr-TR"/>
        </w:rPr>
        <w:t>kWh</w:t>
      </w:r>
      <w:proofErr w:type="spellEnd"/>
      <w:r w:rsidRPr="006F70EA">
        <w:rPr>
          <w:rFonts w:eastAsia="Times New Roman" w:cs="Times New Roman"/>
          <w:color w:val="000000"/>
          <w:szCs w:val="24"/>
          <w:lang w:eastAsia="tr-TR"/>
        </w:rPr>
        <w:t xml:space="preserve"> tüketime erişenler için Kasım ayında bildirimin yapılmış olması son kaynak tedarik tarifesinin 2019 yılının Şubat ayının ilk gününde uygulanmasını gerektirmeyecektir. Diğer bir ifade ile bu tüketiciler açısından da 1/1/2019 tarihinden itibaren yeni tarife uygulanacaktır.</w:t>
      </w:r>
      <w:r w:rsidR="00357BDC" w:rsidRPr="006F70EA">
        <w:rPr>
          <w:rFonts w:eastAsia="Times New Roman" w:cs="Times New Roman"/>
          <w:color w:val="000000"/>
          <w:szCs w:val="24"/>
          <w:lang w:eastAsia="tr-TR"/>
        </w:rPr>
        <w:t xml:space="preserve"> </w:t>
      </w:r>
      <w:r w:rsidRPr="006F70EA">
        <w:rPr>
          <w:rFonts w:eastAsia="Times New Roman" w:cs="Times New Roman"/>
          <w:color w:val="000000"/>
          <w:szCs w:val="24"/>
          <w:lang w:eastAsia="tr-TR"/>
        </w:rPr>
        <w:t xml:space="preserve">2018 yılı içerisinde 50 milyon </w:t>
      </w:r>
      <w:proofErr w:type="spellStart"/>
      <w:r w:rsidRPr="006F70EA">
        <w:rPr>
          <w:rFonts w:eastAsia="Times New Roman" w:cs="Times New Roman"/>
          <w:color w:val="000000"/>
          <w:szCs w:val="24"/>
          <w:lang w:eastAsia="tr-TR"/>
        </w:rPr>
        <w:t>kWh</w:t>
      </w:r>
      <w:proofErr w:type="spellEnd"/>
      <w:r w:rsidRPr="006F70EA">
        <w:rPr>
          <w:rFonts w:eastAsia="Times New Roman" w:cs="Times New Roman"/>
          <w:color w:val="000000"/>
          <w:szCs w:val="24"/>
          <w:lang w:eastAsia="tr-TR"/>
        </w:rPr>
        <w:t xml:space="preserve"> tüketimi olmayan fakat 31/10/2018 tarihine kadar 10 milyon </w:t>
      </w:r>
      <w:proofErr w:type="spellStart"/>
      <w:r w:rsidRPr="006F70EA">
        <w:rPr>
          <w:rFonts w:eastAsia="Times New Roman" w:cs="Times New Roman"/>
          <w:color w:val="000000"/>
          <w:szCs w:val="24"/>
          <w:lang w:eastAsia="tr-TR"/>
        </w:rPr>
        <w:t>kWh</w:t>
      </w:r>
      <w:proofErr w:type="spellEnd"/>
      <w:r w:rsidRPr="006F70EA">
        <w:rPr>
          <w:rFonts w:eastAsia="Times New Roman" w:cs="Times New Roman"/>
          <w:color w:val="000000"/>
          <w:szCs w:val="24"/>
          <w:lang w:eastAsia="tr-TR"/>
        </w:rPr>
        <w:t xml:space="preserve"> tüketime erişen tüketicilerin 1/1/2019 tarihi itibari ile tüketimleri</w:t>
      </w:r>
      <w:r w:rsidR="00357BDC" w:rsidRPr="006F70EA">
        <w:rPr>
          <w:rFonts w:eastAsia="Times New Roman" w:cs="Times New Roman"/>
          <w:color w:val="000000"/>
          <w:szCs w:val="24"/>
          <w:lang w:eastAsia="tr-TR"/>
        </w:rPr>
        <w:t>,</w:t>
      </w:r>
      <w:r w:rsidRPr="006F70EA">
        <w:rPr>
          <w:rFonts w:eastAsia="Times New Roman" w:cs="Times New Roman"/>
          <w:color w:val="000000"/>
          <w:szCs w:val="24"/>
          <w:lang w:eastAsia="tr-TR"/>
        </w:rPr>
        <w:t xml:space="preserve"> </w:t>
      </w:r>
      <w:r w:rsidR="00D60A0E" w:rsidRPr="006F70EA">
        <w:rPr>
          <w:rFonts w:eastAsia="Times New Roman" w:cs="Times New Roman"/>
          <w:color w:val="000000"/>
          <w:szCs w:val="24"/>
          <w:lang w:eastAsia="tr-TR"/>
        </w:rPr>
        <w:t xml:space="preserve">ikili anlaşma yapmamaları durumunda yüksek tüketimli tüketiciler için belirlenen </w:t>
      </w:r>
      <w:r w:rsidRPr="006F70EA">
        <w:rPr>
          <w:rFonts w:eastAsia="Times New Roman" w:cs="Times New Roman"/>
          <w:color w:val="000000"/>
          <w:szCs w:val="24"/>
          <w:lang w:eastAsia="tr-TR"/>
        </w:rPr>
        <w:t xml:space="preserve">son kaynak tedarik tarifesinden faturalandırılacaktır. Söz konusu tüketicilerden 2018 yılının Kasım ayında 10 milyon </w:t>
      </w:r>
      <w:proofErr w:type="spellStart"/>
      <w:r w:rsidRPr="006F70EA">
        <w:rPr>
          <w:rFonts w:eastAsia="Times New Roman" w:cs="Times New Roman"/>
          <w:color w:val="000000"/>
          <w:szCs w:val="24"/>
          <w:lang w:eastAsia="tr-TR"/>
        </w:rPr>
        <w:t>kWh</w:t>
      </w:r>
      <w:proofErr w:type="spellEnd"/>
      <w:r w:rsidRPr="006F70EA">
        <w:rPr>
          <w:rFonts w:eastAsia="Times New Roman" w:cs="Times New Roman"/>
          <w:color w:val="000000"/>
          <w:szCs w:val="24"/>
          <w:lang w:eastAsia="tr-TR"/>
        </w:rPr>
        <w:t xml:space="preserve"> limitini geçenler için ise Kasım ayını takip eden üçüncü ay olan Şubat ayının ilk gününden (1/2/2019) itibaren Tebliğin 6 </w:t>
      </w:r>
      <w:proofErr w:type="spellStart"/>
      <w:r w:rsidRPr="006F70EA">
        <w:rPr>
          <w:rFonts w:eastAsia="Times New Roman" w:cs="Times New Roman"/>
          <w:color w:val="000000"/>
          <w:szCs w:val="24"/>
          <w:lang w:eastAsia="tr-TR"/>
        </w:rPr>
        <w:t>ncı</w:t>
      </w:r>
      <w:proofErr w:type="spellEnd"/>
      <w:r w:rsidRPr="006F70EA">
        <w:rPr>
          <w:rFonts w:eastAsia="Times New Roman" w:cs="Times New Roman"/>
          <w:color w:val="000000"/>
          <w:szCs w:val="24"/>
          <w:lang w:eastAsia="tr-TR"/>
        </w:rPr>
        <w:t xml:space="preserve"> maddesi uyarınca faturalandırma yapılacaktır.</w:t>
      </w:r>
      <w:r w:rsidR="00357BDC" w:rsidRPr="006F70EA">
        <w:rPr>
          <w:rFonts w:eastAsia="Times New Roman" w:cs="Times New Roman"/>
          <w:color w:val="000000"/>
          <w:szCs w:val="24"/>
          <w:lang w:eastAsia="tr-TR"/>
        </w:rPr>
        <w:t xml:space="preserve"> </w:t>
      </w:r>
      <w:r w:rsidRPr="006F70EA">
        <w:rPr>
          <w:rFonts w:eastAsia="Times New Roman" w:cs="Times New Roman"/>
          <w:color w:val="000000"/>
          <w:szCs w:val="24"/>
          <w:lang w:eastAsia="tr-TR"/>
        </w:rPr>
        <w:t>18/10/2018 tarihli ve 8135 sayılı Kurul Kararı ile 2019 yılı için bir limit açıklanmış ve bu karar 20/10/2018 tarihli ve 30571 sayılı Resm</w:t>
      </w:r>
      <w:r w:rsidR="00357BDC" w:rsidRPr="006F70EA">
        <w:rPr>
          <w:rFonts w:eastAsia="Times New Roman" w:cs="Times New Roman"/>
          <w:color w:val="000000"/>
          <w:szCs w:val="24"/>
          <w:lang w:eastAsia="tr-TR"/>
        </w:rPr>
        <w:t>î</w:t>
      </w:r>
      <w:r w:rsidRPr="006F70EA">
        <w:rPr>
          <w:rFonts w:eastAsia="Times New Roman" w:cs="Times New Roman"/>
          <w:color w:val="000000"/>
          <w:szCs w:val="24"/>
          <w:lang w:eastAsia="tr-TR"/>
        </w:rPr>
        <w:t xml:space="preserve"> </w:t>
      </w:r>
      <w:proofErr w:type="spellStart"/>
      <w:r w:rsidRPr="006F70EA">
        <w:rPr>
          <w:rFonts w:eastAsia="Times New Roman" w:cs="Times New Roman"/>
          <w:color w:val="000000"/>
          <w:szCs w:val="24"/>
          <w:lang w:eastAsia="tr-TR"/>
        </w:rPr>
        <w:t>Gazete’de</w:t>
      </w:r>
      <w:proofErr w:type="spellEnd"/>
      <w:r w:rsidRPr="006F70EA">
        <w:rPr>
          <w:rFonts w:eastAsia="Times New Roman" w:cs="Times New Roman"/>
          <w:color w:val="000000"/>
          <w:szCs w:val="24"/>
          <w:lang w:eastAsia="tr-TR"/>
        </w:rPr>
        <w:t xml:space="preserve"> yayımlanmıştır. Tüketim miktarının ilan edilmesi nedeniyle bildirimlerin 2019 yılının Ocak ayında değil en kısa sürede (</w:t>
      </w:r>
      <w:r w:rsidRPr="006F70EA">
        <w:rPr>
          <w:rFonts w:cs="Times New Roman"/>
          <w:szCs w:val="24"/>
        </w:rPr>
        <w:t>tüketicinin yüksek tüketim miktarına eriştiğinin anlaşıldığı tarihten itibaren 15 gün içinde)</w:t>
      </w:r>
      <w:r w:rsidRPr="006F70EA">
        <w:rPr>
          <w:rFonts w:eastAsia="Times New Roman" w:cs="Times New Roman"/>
          <w:color w:val="000000"/>
          <w:szCs w:val="24"/>
          <w:lang w:eastAsia="tr-TR"/>
        </w:rPr>
        <w:t xml:space="preserve"> yapılması gerekmektedir.</w:t>
      </w:r>
    </w:p>
    <w:p w14:paraId="773B6EEB" w14:textId="77777777" w:rsidR="00EA611E" w:rsidRPr="00FD3629" w:rsidRDefault="00EA611E" w:rsidP="006F70EA">
      <w:pPr>
        <w:ind w:left="567" w:hanging="567"/>
        <w:rPr>
          <w:rFonts w:eastAsia="Times New Roman" w:cs="Times New Roman"/>
          <w:color w:val="000000"/>
          <w:szCs w:val="24"/>
          <w:lang w:eastAsia="tr-TR"/>
        </w:rPr>
      </w:pPr>
    </w:p>
    <w:p w14:paraId="3E1B32AB" w14:textId="77777777" w:rsidR="00EA611E" w:rsidRPr="00FD3629" w:rsidRDefault="00EA611E" w:rsidP="006F70EA">
      <w:pPr>
        <w:pStyle w:val="ListeParagraf"/>
        <w:numPr>
          <w:ilvl w:val="0"/>
          <w:numId w:val="1"/>
        </w:numPr>
        <w:ind w:left="567" w:hanging="567"/>
        <w:rPr>
          <w:rFonts w:eastAsia="Times New Roman" w:cs="Times New Roman"/>
          <w:color w:val="000000"/>
          <w:szCs w:val="24"/>
          <w:lang w:eastAsia="tr-TR"/>
        </w:rPr>
      </w:pPr>
      <w:proofErr w:type="gramStart"/>
      <w:r w:rsidRPr="00FD3629">
        <w:rPr>
          <w:rFonts w:eastAsia="Times New Roman" w:cs="Times New Roman"/>
          <w:color w:val="000000"/>
          <w:szCs w:val="24"/>
          <w:lang w:eastAsia="tr-TR"/>
        </w:rPr>
        <w:t>Tebliğ’in 8 inci maddesinin üçüncü fıkrasında</w:t>
      </w:r>
      <w:r w:rsidRPr="00FD3629">
        <w:rPr>
          <w:rFonts w:eastAsia="Times New Roman" w:cs="Times New Roman"/>
          <w:i/>
          <w:color w:val="000000"/>
          <w:szCs w:val="24"/>
          <w:lang w:eastAsia="tr-TR"/>
        </w:rPr>
        <w:t>; "(3) Yüksek tüketimli tüketiciler için belirlenen son kaynak tedarik tarifesi ilk kez yüksek tüketimli tüketici grubuna dâhil olan tüketiciler için, bir önceki takvim yılında veya içinde bulunulan yılda, bu tüketici grubunu belirleyen tüketim miktarına erişildiği tarihi içeren takvim ayını takip eden üçüncü takvim ayının ilk gününden itibaren uygulanmaya başlar.</w:t>
      </w:r>
      <w:r w:rsidRPr="00FD3629">
        <w:rPr>
          <w:rFonts w:eastAsia="Times New Roman" w:cs="Times New Roman"/>
          <w:b/>
          <w:bCs/>
          <w:i/>
          <w:color w:val="000000"/>
          <w:szCs w:val="24"/>
          <w:lang w:eastAsia="tr-TR"/>
        </w:rPr>
        <w:t xml:space="preserve"> İlk kez yüksek tüketimli tüketici grubuna dâhil olan tüketicilerden iletim gerilim seviyesinden bağlı olanlara </w:t>
      </w:r>
      <w:r w:rsidRPr="00FD3629">
        <w:rPr>
          <w:rFonts w:eastAsia="Times New Roman" w:cs="Times New Roman"/>
          <w:b/>
          <w:bCs/>
          <w:i/>
          <w:color w:val="000000"/>
          <w:szCs w:val="24"/>
          <w:u w:val="single"/>
          <w:lang w:eastAsia="tr-TR"/>
        </w:rPr>
        <w:t xml:space="preserve">TEİAŞ’tan gerekli görülen bilgileri de alarak </w:t>
      </w:r>
      <w:r w:rsidRPr="00FD3629">
        <w:rPr>
          <w:rFonts w:eastAsia="Times New Roman" w:cs="Times New Roman"/>
          <w:b/>
          <w:bCs/>
          <w:i/>
          <w:color w:val="000000"/>
          <w:szCs w:val="24"/>
          <w:lang w:eastAsia="tr-TR"/>
        </w:rPr>
        <w:t xml:space="preserve">görevli tedarik şirketleri, dağıtım gerilim seviyesinden bağlı olanlara dağıtım şirketleri tarafından tüketicinin yüksek tüketim miktarına eriştiğinin anlaşıldığı tarihten itibaren 15 gün içinde kısa mesaj ve/veya elektronik posta gönderilmesi suretiyle bilgilendirme yapılır. </w:t>
      </w:r>
      <w:proofErr w:type="gramEnd"/>
      <w:r w:rsidRPr="00FD3629">
        <w:rPr>
          <w:rFonts w:eastAsia="Times New Roman" w:cs="Times New Roman"/>
          <w:i/>
          <w:color w:val="000000"/>
          <w:szCs w:val="24"/>
          <w:lang w:eastAsia="tr-TR"/>
        </w:rPr>
        <w:t>Daha önce bu kapsama dâhil olup tekrar yüksek tüketimli tüketici grubuna dâhil olan tüketiciler için söz konusu fiyat hemen uygulanır ve 15 gün içinde bilgilendirme yapılır."</w:t>
      </w:r>
      <w:r w:rsidRPr="00FD3629">
        <w:rPr>
          <w:rFonts w:eastAsia="Times New Roman" w:cs="Times New Roman"/>
          <w:color w:val="000000"/>
          <w:szCs w:val="24"/>
          <w:lang w:eastAsia="tr-TR"/>
        </w:rPr>
        <w:t xml:space="preserve"> denilmektedir. İlgili hükümde görevli tedarik şirketlerinin gerekli olması halinde TEİAŞ'tan bilgi alarak bilgilendirme faaliyetini yürütmesi gerektiği düzenlenmektedir. Görevli tedarik </w:t>
      </w:r>
      <w:r w:rsidRPr="00FD3629">
        <w:rPr>
          <w:rFonts w:eastAsia="Times New Roman" w:cs="Times New Roman"/>
          <w:color w:val="000000"/>
          <w:szCs w:val="24"/>
          <w:lang w:eastAsia="tr-TR"/>
        </w:rPr>
        <w:lastRenderedPageBreak/>
        <w:t xml:space="preserve">şirketlerinin, </w:t>
      </w:r>
      <w:proofErr w:type="gramStart"/>
      <w:r w:rsidRPr="00FD3629">
        <w:rPr>
          <w:rFonts w:eastAsia="Times New Roman" w:cs="Times New Roman"/>
          <w:color w:val="000000"/>
          <w:szCs w:val="24"/>
          <w:lang w:eastAsia="tr-TR"/>
        </w:rPr>
        <w:t>portföyünde</w:t>
      </w:r>
      <w:proofErr w:type="gramEnd"/>
      <w:r w:rsidRPr="00FD3629">
        <w:rPr>
          <w:rFonts w:eastAsia="Times New Roman" w:cs="Times New Roman"/>
          <w:color w:val="000000"/>
          <w:szCs w:val="24"/>
          <w:lang w:eastAsia="tr-TR"/>
        </w:rPr>
        <w:t xml:space="preserve"> yer alan bazı tüketicilerin yüksek tüketimli olduğu hususunda sahip olduğu bilgi nedeniyle ilgililere doğrudan bildirim yapmasına ve yüksek tüketimli tüketiciler hakkında geçerli olan son kaynak tedarik tarifesini uygulamasına engel bir durum bulunmamaktadır.</w:t>
      </w:r>
    </w:p>
    <w:p w14:paraId="3473A95B" w14:textId="77777777" w:rsidR="00EA611E" w:rsidRPr="00FD3629" w:rsidRDefault="00EA611E" w:rsidP="006F70EA">
      <w:pPr>
        <w:ind w:left="567" w:hanging="567"/>
        <w:rPr>
          <w:rFonts w:eastAsia="Times New Roman" w:cs="Times New Roman"/>
          <w:color w:val="000000"/>
          <w:szCs w:val="24"/>
          <w:lang w:eastAsia="tr-TR"/>
        </w:rPr>
      </w:pPr>
    </w:p>
    <w:p w14:paraId="5434DCBA" w14:textId="6782FCE5" w:rsidR="00EA611E" w:rsidRPr="00FD3629" w:rsidRDefault="00EA611E" w:rsidP="006F70EA">
      <w:pPr>
        <w:pStyle w:val="ListeParagraf"/>
        <w:numPr>
          <w:ilvl w:val="0"/>
          <w:numId w:val="1"/>
        </w:numPr>
        <w:ind w:left="567" w:hanging="567"/>
        <w:rPr>
          <w:rFonts w:cs="Times New Roman"/>
          <w:szCs w:val="24"/>
        </w:rPr>
      </w:pPr>
      <w:r w:rsidRPr="00FD3629">
        <w:rPr>
          <w:rFonts w:cs="Times New Roman"/>
          <w:szCs w:val="24"/>
        </w:rPr>
        <w:t xml:space="preserve">Yüksek tüketimli tüketiciler için Tebliğ’in 6 </w:t>
      </w:r>
      <w:proofErr w:type="spellStart"/>
      <w:r w:rsidRPr="00FD3629">
        <w:rPr>
          <w:rFonts w:cs="Times New Roman"/>
          <w:szCs w:val="24"/>
        </w:rPr>
        <w:t>ncı</w:t>
      </w:r>
      <w:proofErr w:type="spellEnd"/>
      <w:r w:rsidRPr="00FD3629">
        <w:rPr>
          <w:rFonts w:cs="Times New Roman"/>
          <w:szCs w:val="24"/>
        </w:rPr>
        <w:t xml:space="preserve"> maddesinin beşinci fıkrasında yer alan formüle göre hesap</w:t>
      </w:r>
      <w:r w:rsidR="00D60A0E">
        <w:rPr>
          <w:rFonts w:cs="Times New Roman"/>
          <w:szCs w:val="24"/>
        </w:rPr>
        <w:t>lanan</w:t>
      </w:r>
      <w:r w:rsidRPr="00FD3629">
        <w:rPr>
          <w:rFonts w:cs="Times New Roman"/>
          <w:szCs w:val="24"/>
        </w:rPr>
        <w:t xml:space="preserve"> birim bedelin, ilgili dönemde tüketicinin tabi olduğu </w:t>
      </w:r>
      <w:r w:rsidR="00C52B59">
        <w:rPr>
          <w:rFonts w:cs="Times New Roman"/>
          <w:szCs w:val="24"/>
        </w:rPr>
        <w:t>tüketici</w:t>
      </w:r>
      <w:r w:rsidR="00C52B59" w:rsidRPr="00FD3629">
        <w:rPr>
          <w:rFonts w:cs="Times New Roman"/>
          <w:szCs w:val="24"/>
        </w:rPr>
        <w:t xml:space="preserve"> </w:t>
      </w:r>
      <w:r w:rsidRPr="00FD3629">
        <w:rPr>
          <w:rFonts w:cs="Times New Roman"/>
          <w:szCs w:val="24"/>
        </w:rPr>
        <w:t xml:space="preserve">grubu </w:t>
      </w:r>
      <w:r w:rsidR="00357BDC">
        <w:rPr>
          <w:rFonts w:cs="Times New Roman"/>
          <w:szCs w:val="24"/>
        </w:rPr>
        <w:t>için</w:t>
      </w:r>
      <w:r w:rsidR="00357BDC" w:rsidRPr="00FD3629">
        <w:rPr>
          <w:rFonts w:cs="Times New Roman"/>
          <w:szCs w:val="24"/>
        </w:rPr>
        <w:t xml:space="preserve"> </w:t>
      </w:r>
      <w:r w:rsidRPr="00FD3629">
        <w:rPr>
          <w:rFonts w:cs="Times New Roman"/>
          <w:szCs w:val="24"/>
        </w:rPr>
        <w:t xml:space="preserve">ulusal tarife gereğince uygulanmakta olan </w:t>
      </w:r>
      <w:r w:rsidRPr="004414A2">
        <w:rPr>
          <w:rFonts w:cs="Times New Roman"/>
          <w:szCs w:val="24"/>
        </w:rPr>
        <w:t>tek zamanlı enerji birim bedelinin</w:t>
      </w:r>
      <w:r w:rsidRPr="00FD3629">
        <w:rPr>
          <w:rFonts w:cs="Times New Roman"/>
          <w:szCs w:val="24"/>
        </w:rPr>
        <w:t xml:space="preserve"> altında olması durumunda ulusal tarife tablosunda yer alan birim bedel üzerinden faturalandırma yapılmalıdır.</w:t>
      </w:r>
    </w:p>
    <w:p w14:paraId="0B04AF27" w14:textId="77777777" w:rsidR="00EA611E" w:rsidRPr="00FD3629" w:rsidRDefault="00EA611E" w:rsidP="006F70EA">
      <w:pPr>
        <w:ind w:left="567" w:hanging="567"/>
        <w:rPr>
          <w:rFonts w:cs="Times New Roman"/>
          <w:szCs w:val="24"/>
        </w:rPr>
      </w:pPr>
    </w:p>
    <w:p w14:paraId="60B1B71A" w14:textId="77777777" w:rsidR="00EA611E" w:rsidRPr="00FD3629" w:rsidRDefault="00EA611E" w:rsidP="006F70EA">
      <w:pPr>
        <w:pStyle w:val="ListeParagraf"/>
        <w:numPr>
          <w:ilvl w:val="0"/>
          <w:numId w:val="1"/>
        </w:numPr>
        <w:ind w:left="567" w:hanging="567"/>
        <w:rPr>
          <w:rFonts w:eastAsia="Times New Roman" w:cs="Times New Roman"/>
          <w:color w:val="000000"/>
          <w:szCs w:val="24"/>
          <w:lang w:eastAsia="tr-TR"/>
        </w:rPr>
      </w:pPr>
      <w:r w:rsidRPr="00FD3629">
        <w:rPr>
          <w:rFonts w:eastAsia="Times New Roman" w:cs="Times New Roman"/>
          <w:color w:val="000000"/>
          <w:szCs w:val="24"/>
          <w:lang w:eastAsia="tr-TR"/>
        </w:rPr>
        <w:t xml:space="preserve">Elektrik Piyasası Tüketici Hizmetleri Yönetmeliği’nin sayacın doğru tüketim kaydetmemesi halini ve kaçak elektrik enerjisi tüketimini düzenleyen hükümleri kapsamında hesap edilecek tüketim miktarlarının da bir gerçek veya tüzel kişinin bir takvim yılında bir kullanım yeri için gerçekleşen tüketim miktarının hesabında dikkate alınması gerekmektedir. Ancak bu durumda </w:t>
      </w:r>
      <w:r w:rsidR="00D60A0E">
        <w:rPr>
          <w:rFonts w:eastAsia="Times New Roman" w:cs="Times New Roman"/>
          <w:color w:val="000000"/>
          <w:szCs w:val="24"/>
          <w:lang w:eastAsia="tr-TR"/>
        </w:rPr>
        <w:t xml:space="preserve">geçmiş faturalara ilişkin kaçak tüketim veya ek tüketim nedeniyle </w:t>
      </w:r>
      <w:r w:rsidRPr="00FD3629">
        <w:rPr>
          <w:rFonts w:eastAsia="Times New Roman" w:cs="Times New Roman"/>
          <w:color w:val="000000"/>
          <w:szCs w:val="24"/>
          <w:lang w:eastAsia="tr-TR"/>
        </w:rPr>
        <w:t>son kaynak tedarik tarifesi kapsamında bir düzeltme yapılmayacaktır.</w:t>
      </w:r>
    </w:p>
    <w:p w14:paraId="1CCA3903" w14:textId="77777777" w:rsidR="00EA611E" w:rsidRPr="00FD3629" w:rsidRDefault="00EA611E" w:rsidP="006F70EA">
      <w:pPr>
        <w:ind w:left="567" w:hanging="567"/>
        <w:rPr>
          <w:rFonts w:eastAsia="Times New Roman" w:cs="Times New Roman"/>
          <w:color w:val="000000"/>
          <w:szCs w:val="24"/>
          <w:lang w:eastAsia="tr-TR"/>
        </w:rPr>
      </w:pPr>
    </w:p>
    <w:p w14:paraId="14F9F665" w14:textId="272CB8C1" w:rsidR="00EA611E" w:rsidRPr="00FD3629" w:rsidRDefault="00FD3629" w:rsidP="006F70EA">
      <w:pPr>
        <w:pStyle w:val="ListeParagraf"/>
        <w:numPr>
          <w:ilvl w:val="0"/>
          <w:numId w:val="1"/>
        </w:numPr>
        <w:ind w:left="567" w:hanging="567"/>
        <w:rPr>
          <w:rFonts w:eastAsia="Times New Roman" w:cs="Times New Roman"/>
          <w:color w:val="000000"/>
          <w:szCs w:val="24"/>
          <w:lang w:eastAsia="tr-TR"/>
        </w:rPr>
      </w:pPr>
      <w:r>
        <w:rPr>
          <w:rFonts w:eastAsia="Times New Roman" w:cs="Times New Roman"/>
          <w:color w:val="000000"/>
          <w:szCs w:val="24"/>
          <w:lang w:eastAsia="tr-TR"/>
        </w:rPr>
        <w:t>Y</w:t>
      </w:r>
      <w:r w:rsidR="00EA611E" w:rsidRPr="00FD3629">
        <w:rPr>
          <w:rFonts w:eastAsia="Times New Roman" w:cs="Times New Roman"/>
          <w:color w:val="000000"/>
          <w:szCs w:val="24"/>
          <w:lang w:eastAsia="tr-TR"/>
        </w:rPr>
        <w:t xml:space="preserve">üksek tüketimli tüketici limitini geçtiği bildirilen bir tüketicinin ilgili tesisatında, 3 ay içinde bir </w:t>
      </w:r>
      <w:r w:rsidR="00F6149E">
        <w:rPr>
          <w:rFonts w:eastAsia="Times New Roman" w:cs="Times New Roman"/>
          <w:color w:val="000000"/>
          <w:szCs w:val="24"/>
          <w:lang w:eastAsia="tr-TR"/>
        </w:rPr>
        <w:t>tüketici</w:t>
      </w:r>
      <w:r w:rsidR="00F6149E" w:rsidRPr="00FD3629">
        <w:rPr>
          <w:rFonts w:eastAsia="Times New Roman" w:cs="Times New Roman"/>
          <w:color w:val="000000"/>
          <w:szCs w:val="24"/>
          <w:lang w:eastAsia="tr-TR"/>
        </w:rPr>
        <w:t xml:space="preserve"> </w:t>
      </w:r>
      <w:r w:rsidR="00EA611E" w:rsidRPr="00FD3629">
        <w:rPr>
          <w:rFonts w:eastAsia="Times New Roman" w:cs="Times New Roman"/>
          <w:color w:val="000000"/>
          <w:szCs w:val="24"/>
          <w:lang w:eastAsia="tr-TR"/>
        </w:rPr>
        <w:t xml:space="preserve">değişikliği gerçekleşirse </w:t>
      </w:r>
      <w:r w:rsidR="00043944">
        <w:rPr>
          <w:rFonts w:eastAsia="Times New Roman" w:cs="Times New Roman"/>
          <w:color w:val="000000"/>
          <w:szCs w:val="24"/>
          <w:lang w:eastAsia="tr-TR"/>
        </w:rPr>
        <w:t>görevli tedarik şirketi</w:t>
      </w:r>
      <w:r w:rsidR="00EA611E" w:rsidRPr="00FD3629">
        <w:rPr>
          <w:rFonts w:eastAsia="Times New Roman" w:cs="Times New Roman"/>
          <w:color w:val="000000"/>
          <w:szCs w:val="24"/>
          <w:lang w:eastAsia="tr-TR"/>
        </w:rPr>
        <w:t xml:space="preserve"> bu değişikliği ve yüksek tüketimli tüketicinin bu kapsamda artık ilgili tesisatta olmadığını </w:t>
      </w:r>
      <w:r w:rsidR="00043944">
        <w:rPr>
          <w:rFonts w:eastAsia="Times New Roman" w:cs="Times New Roman"/>
          <w:color w:val="000000"/>
          <w:szCs w:val="24"/>
          <w:lang w:eastAsia="tr-TR"/>
        </w:rPr>
        <w:t>dağıtım</w:t>
      </w:r>
      <w:r w:rsidR="00EA611E" w:rsidRPr="00FD3629">
        <w:rPr>
          <w:rFonts w:eastAsia="Times New Roman" w:cs="Times New Roman"/>
          <w:color w:val="000000"/>
          <w:szCs w:val="24"/>
          <w:lang w:eastAsia="tr-TR"/>
        </w:rPr>
        <w:t xml:space="preserve"> şirketine bildirecektir.</w:t>
      </w:r>
    </w:p>
    <w:p w14:paraId="546E2D0C" w14:textId="77777777" w:rsidR="00EA611E" w:rsidRPr="00FD3629" w:rsidRDefault="00EA611E" w:rsidP="006F70EA">
      <w:pPr>
        <w:ind w:left="567" w:hanging="567"/>
        <w:rPr>
          <w:rFonts w:eastAsia="Times New Roman" w:cs="Times New Roman"/>
          <w:color w:val="000000"/>
          <w:szCs w:val="24"/>
          <w:lang w:eastAsia="tr-TR"/>
        </w:rPr>
      </w:pPr>
    </w:p>
    <w:p w14:paraId="21C31395" w14:textId="77777777" w:rsidR="00EA611E" w:rsidRPr="00FD3629" w:rsidRDefault="00EA611E" w:rsidP="006F70EA">
      <w:pPr>
        <w:pStyle w:val="ListeParagraf"/>
        <w:numPr>
          <w:ilvl w:val="0"/>
          <w:numId w:val="1"/>
        </w:numPr>
        <w:ind w:left="567" w:hanging="567"/>
        <w:rPr>
          <w:rFonts w:cs="Times New Roman"/>
          <w:szCs w:val="24"/>
        </w:rPr>
      </w:pPr>
      <w:proofErr w:type="gramStart"/>
      <w:r w:rsidRPr="00FD3629">
        <w:rPr>
          <w:rFonts w:eastAsia="Times New Roman" w:cs="Times New Roman"/>
          <w:color w:val="000000"/>
          <w:szCs w:val="24"/>
          <w:lang w:eastAsia="tr-TR"/>
        </w:rPr>
        <w:t>Tebliğ’in</w:t>
      </w:r>
      <w:r w:rsidRPr="00FD3629">
        <w:rPr>
          <w:rFonts w:eastAsia="Times New Roman" w:cs="Times New Roman"/>
          <w:b/>
          <w:color w:val="000000"/>
          <w:szCs w:val="24"/>
          <w:lang w:eastAsia="tr-TR"/>
        </w:rPr>
        <w:t xml:space="preserve"> </w:t>
      </w:r>
      <w:r w:rsidRPr="00FD3629">
        <w:rPr>
          <w:rFonts w:eastAsia="Times New Roman" w:cs="Times New Roman"/>
          <w:color w:val="000000"/>
          <w:szCs w:val="24"/>
          <w:lang w:eastAsia="tr-TR"/>
        </w:rPr>
        <w:t xml:space="preserve">8 inci maddesinin üçüncü fıkrası gereği ilk kez yüksek tüketimli tüketici grubuna dâhil olanlara </w:t>
      </w:r>
      <w:r w:rsidRPr="00FD3629">
        <w:rPr>
          <w:rFonts w:cs="Times New Roman"/>
          <w:szCs w:val="24"/>
        </w:rPr>
        <w:t>kısa mesaj ve/veya elektronik posta gönderilmesi suretiyle bilgilendirme yapılması gerekmekte olup dağıtım şirketlerinin bu tüketiciler ile iletişime geçmesi ve</w:t>
      </w:r>
      <w:r w:rsidR="00043944">
        <w:rPr>
          <w:rFonts w:cs="Times New Roman"/>
          <w:szCs w:val="24"/>
        </w:rPr>
        <w:t xml:space="preserve"> güncel iletişim bilgilerinin</w:t>
      </w:r>
      <w:r w:rsidR="009F5EE1">
        <w:rPr>
          <w:rFonts w:cs="Times New Roman"/>
          <w:szCs w:val="24"/>
        </w:rPr>
        <w:t>,</w:t>
      </w:r>
      <w:r w:rsidR="00043944">
        <w:rPr>
          <w:rFonts w:cs="Times New Roman"/>
          <w:szCs w:val="24"/>
        </w:rPr>
        <w:t xml:space="preserve"> </w:t>
      </w:r>
      <w:r w:rsidRPr="00FD3629">
        <w:rPr>
          <w:rFonts w:cs="Times New Roman"/>
          <w:szCs w:val="24"/>
        </w:rPr>
        <w:t xml:space="preserve">ilgili mevzuat gereğince </w:t>
      </w:r>
      <w:r w:rsidR="009F5EE1">
        <w:rPr>
          <w:rFonts w:cs="Times New Roman"/>
          <w:szCs w:val="24"/>
        </w:rPr>
        <w:t xml:space="preserve">yapılması </w:t>
      </w:r>
      <w:r w:rsidR="00043944">
        <w:rPr>
          <w:rFonts w:cs="Times New Roman"/>
          <w:szCs w:val="24"/>
        </w:rPr>
        <w:t>gereken</w:t>
      </w:r>
      <w:r w:rsidR="00043944" w:rsidRPr="00FD3629">
        <w:rPr>
          <w:rFonts w:cs="Times New Roman"/>
          <w:szCs w:val="24"/>
        </w:rPr>
        <w:t xml:space="preserve"> </w:t>
      </w:r>
      <w:r w:rsidR="009F5EE1">
        <w:rPr>
          <w:rFonts w:cs="Times New Roman"/>
          <w:szCs w:val="24"/>
        </w:rPr>
        <w:t>bildirimlerin</w:t>
      </w:r>
      <w:r w:rsidR="009F5EE1" w:rsidRPr="00FD3629">
        <w:rPr>
          <w:rFonts w:cs="Times New Roman"/>
          <w:szCs w:val="24"/>
        </w:rPr>
        <w:t xml:space="preserve"> </w:t>
      </w:r>
      <w:r w:rsidR="00043944">
        <w:rPr>
          <w:rFonts w:cs="Times New Roman"/>
          <w:szCs w:val="24"/>
        </w:rPr>
        <w:t>tüketicilere</w:t>
      </w:r>
      <w:r w:rsidR="00043944" w:rsidRPr="00FD3629">
        <w:rPr>
          <w:rFonts w:cs="Times New Roman"/>
          <w:szCs w:val="24"/>
        </w:rPr>
        <w:t xml:space="preserve"> </w:t>
      </w:r>
      <w:r w:rsidRPr="00FD3629">
        <w:rPr>
          <w:rFonts w:cs="Times New Roman"/>
          <w:szCs w:val="24"/>
        </w:rPr>
        <w:t>sunulmasını sağlama</w:t>
      </w:r>
      <w:r w:rsidR="00043944">
        <w:rPr>
          <w:rFonts w:cs="Times New Roman"/>
          <w:szCs w:val="24"/>
        </w:rPr>
        <w:t>k adına önemli ol</w:t>
      </w:r>
      <w:r w:rsidR="009F5EE1">
        <w:rPr>
          <w:rFonts w:cs="Times New Roman"/>
          <w:szCs w:val="24"/>
        </w:rPr>
        <w:t>d</w:t>
      </w:r>
      <w:r w:rsidR="00043944">
        <w:rPr>
          <w:rFonts w:cs="Times New Roman"/>
          <w:szCs w:val="24"/>
        </w:rPr>
        <w:t xml:space="preserve">uğunun belirtilmesi </w:t>
      </w:r>
      <w:r w:rsidRPr="00FD3629">
        <w:rPr>
          <w:rFonts w:cs="Times New Roman"/>
          <w:szCs w:val="24"/>
        </w:rPr>
        <w:t>önerilmektedir.</w:t>
      </w:r>
      <w:proofErr w:type="gramEnd"/>
    </w:p>
    <w:p w14:paraId="53D2F606" w14:textId="77777777" w:rsidR="00EA611E" w:rsidRPr="00FD3629" w:rsidRDefault="00EA611E" w:rsidP="006F70EA">
      <w:pPr>
        <w:ind w:left="567" w:hanging="567"/>
        <w:rPr>
          <w:rFonts w:cs="Times New Roman"/>
          <w:szCs w:val="24"/>
        </w:rPr>
      </w:pPr>
    </w:p>
    <w:p w14:paraId="5F35152D" w14:textId="77777777" w:rsidR="00EA611E" w:rsidRPr="00FD3629" w:rsidRDefault="00EA611E" w:rsidP="006F70EA">
      <w:pPr>
        <w:pStyle w:val="ListeParagraf"/>
        <w:numPr>
          <w:ilvl w:val="0"/>
          <w:numId w:val="1"/>
        </w:numPr>
        <w:ind w:left="567" w:hanging="567"/>
        <w:rPr>
          <w:rFonts w:eastAsia="Times New Roman" w:cs="Times New Roman"/>
          <w:b/>
          <w:color w:val="000000"/>
          <w:szCs w:val="24"/>
          <w:lang w:eastAsia="tr-TR"/>
        </w:rPr>
      </w:pPr>
      <w:r w:rsidRPr="00FD3629">
        <w:rPr>
          <w:rFonts w:eastAsia="Times New Roman" w:cs="Times New Roman"/>
          <w:color w:val="000000"/>
          <w:szCs w:val="24"/>
          <w:lang w:eastAsia="tr-TR"/>
        </w:rPr>
        <w:t>Sayaç arızası, çarpan hatası, vb. gibi geçmiş ölçümlerin hatalı yapıldığı durumlarda limiti geçtiği halde geçtiği bildirilmeyen veya geçmediği halde geçtiği bildirilen tüketicilerle ilgili hatanın düzeltilmesi konusunda bir düzenleme yapılmayacaktır. Bu durumda Elektrik Piyasası Tüketici Hizmetleri Yönetmeliği gereğince işlem yapılacak olup bu yönetmelik hükümlerince belirlenen süreler dikkate alınarak düzeltme yapılacaktır.</w:t>
      </w:r>
    </w:p>
    <w:p w14:paraId="127A46C0" w14:textId="77777777" w:rsidR="00EA611E" w:rsidRPr="00FD3629" w:rsidRDefault="00EA611E" w:rsidP="006F70EA">
      <w:pPr>
        <w:ind w:left="567" w:hanging="567"/>
        <w:rPr>
          <w:rFonts w:eastAsia="Times New Roman" w:cs="Times New Roman"/>
          <w:color w:val="000000"/>
          <w:szCs w:val="24"/>
          <w:lang w:eastAsia="tr-TR"/>
        </w:rPr>
      </w:pPr>
    </w:p>
    <w:p w14:paraId="77F900B3" w14:textId="79B89C9A" w:rsidR="00EA611E" w:rsidRPr="00FD3629" w:rsidRDefault="00EA611E" w:rsidP="006F70EA">
      <w:pPr>
        <w:pStyle w:val="ListeParagraf"/>
        <w:numPr>
          <w:ilvl w:val="0"/>
          <w:numId w:val="1"/>
        </w:numPr>
        <w:ind w:left="567" w:hanging="567"/>
        <w:rPr>
          <w:rFonts w:eastAsia="Times New Roman" w:cs="Times New Roman"/>
          <w:color w:val="000000"/>
          <w:szCs w:val="24"/>
          <w:lang w:eastAsia="tr-TR"/>
        </w:rPr>
      </w:pPr>
      <w:r w:rsidRPr="001D6DB2">
        <w:rPr>
          <w:rFonts w:eastAsia="Times New Roman" w:cs="Times New Roman"/>
          <w:color w:val="000000"/>
          <w:szCs w:val="24"/>
          <w:lang w:eastAsia="tr-TR"/>
        </w:rPr>
        <w:t xml:space="preserve">Yüksek tüketimli tüketici iken sonradan yüksek tüketimli tüketici limiti altında kalınması halinde </w:t>
      </w:r>
      <w:r w:rsidR="003C46CA" w:rsidRPr="001D6DB2">
        <w:rPr>
          <w:rFonts w:eastAsia="Times New Roman" w:cs="Times New Roman"/>
          <w:color w:val="000000"/>
          <w:szCs w:val="24"/>
          <w:lang w:eastAsia="tr-TR"/>
        </w:rPr>
        <w:t xml:space="preserve">Tebliğ’in 8 inci maddesinin dördüncü fıkrasında yer alan </w:t>
      </w:r>
      <w:r w:rsidR="003C46CA" w:rsidRPr="001D6DB2">
        <w:rPr>
          <w:rFonts w:eastAsia="Times New Roman" w:cs="Times New Roman"/>
          <w:i/>
          <w:color w:val="000000"/>
          <w:szCs w:val="24"/>
          <w:lang w:eastAsia="tr-TR"/>
        </w:rPr>
        <w:t>“</w:t>
      </w:r>
      <w:r w:rsidR="003C46CA" w:rsidRPr="001D6DB2">
        <w:rPr>
          <w:rFonts w:cs="Times New Roman"/>
          <w:i/>
          <w:szCs w:val="24"/>
        </w:rPr>
        <w:t>(4) Yüksek ve düşük tüketimli tüketicilere ilişkin tüketim bilgilerinin takibi iletim gerilim seviyesinden bağlı tüketiciler için görevli tedarik şirketlerinin, dağıtım gerilim seviyesinden bağlı tüketiciler için dağıtım şirketlerinin sorumluluğundadır.”</w:t>
      </w:r>
      <w:r w:rsidR="003C46CA" w:rsidRPr="00C52B59">
        <w:rPr>
          <w:rFonts w:cs="Times New Roman"/>
          <w:szCs w:val="24"/>
        </w:rPr>
        <w:t xml:space="preserve"> hükmü kapsamında iletim gerilim seviyesinden bağlı olanlara TEİAŞ’tan gerekli görülen bilgileri de alarak görevli tedarik şirketleri, dağıtım gerilim seviyesinden bağlı olanlara dağıtım şirketleri tarafından tüketicinin yüksek tüketimli </w:t>
      </w:r>
      <w:r w:rsidR="00A26CCF" w:rsidRPr="00C52B59">
        <w:rPr>
          <w:rFonts w:cs="Times New Roman"/>
          <w:szCs w:val="24"/>
        </w:rPr>
        <w:t>tüketici niteliğinin</w:t>
      </w:r>
      <w:r w:rsidR="003C46CA" w:rsidRPr="00C52B59">
        <w:rPr>
          <w:rFonts w:cs="Times New Roman"/>
          <w:szCs w:val="24"/>
        </w:rPr>
        <w:t xml:space="preserve"> değiştiğinin anlaşıldığı tarihten itibaren 15 gün içinde kısa mesaj ve/veya elektronik posta gönderilmesi suretiyle bilgilendirme yapılır. </w:t>
      </w:r>
      <w:r w:rsidR="00AB0725">
        <w:rPr>
          <w:rFonts w:eastAsia="Times New Roman" w:cs="Times New Roman"/>
          <w:color w:val="000000"/>
          <w:szCs w:val="24"/>
          <w:lang w:eastAsia="tr-TR"/>
        </w:rPr>
        <w:t xml:space="preserve">Dağıtım şirketleri </w:t>
      </w:r>
      <w:r w:rsidR="00AB0725" w:rsidRPr="00D772D8">
        <w:rPr>
          <w:rFonts w:eastAsia="Times New Roman" w:cs="Times New Roman"/>
          <w:color w:val="000000"/>
          <w:szCs w:val="24"/>
          <w:lang w:eastAsia="tr-TR"/>
        </w:rPr>
        <w:t xml:space="preserve">ayrıca </w:t>
      </w:r>
      <w:r w:rsidR="00CA27E8" w:rsidRPr="00D772D8">
        <w:rPr>
          <w:rFonts w:eastAsia="Times New Roman" w:cs="Times New Roman"/>
          <w:color w:val="000000"/>
          <w:szCs w:val="24"/>
          <w:lang w:eastAsia="tr-TR"/>
        </w:rPr>
        <w:t xml:space="preserve">yüksek tüketimli tüketici grubundan </w:t>
      </w:r>
      <w:r w:rsidR="00AB0725" w:rsidRPr="00D772D8">
        <w:rPr>
          <w:rFonts w:eastAsia="Times New Roman" w:cs="Times New Roman"/>
          <w:color w:val="000000"/>
          <w:szCs w:val="24"/>
          <w:lang w:eastAsia="tr-TR"/>
        </w:rPr>
        <w:t>düşük tüketimli</w:t>
      </w:r>
      <w:r w:rsidR="00AB0725">
        <w:rPr>
          <w:rFonts w:eastAsia="Times New Roman" w:cs="Times New Roman"/>
          <w:color w:val="000000"/>
          <w:szCs w:val="24"/>
          <w:lang w:eastAsia="tr-TR"/>
        </w:rPr>
        <w:t xml:space="preserve"> tüketici grubuna geçildiği tespitinde bulunduğunda görevli tedarik şirketine </w:t>
      </w:r>
      <w:r w:rsidR="006A3221">
        <w:rPr>
          <w:rFonts w:eastAsia="Times New Roman" w:cs="Times New Roman"/>
          <w:color w:val="000000"/>
          <w:szCs w:val="24"/>
          <w:lang w:eastAsia="tr-TR"/>
        </w:rPr>
        <w:t>derhal elektronik</w:t>
      </w:r>
      <w:r w:rsidR="00AB0725">
        <w:rPr>
          <w:rFonts w:eastAsia="Times New Roman" w:cs="Times New Roman"/>
          <w:color w:val="000000"/>
          <w:szCs w:val="24"/>
          <w:lang w:eastAsia="tr-TR"/>
        </w:rPr>
        <w:t xml:space="preserve"> posta yoluyla bildirimde bulunur. </w:t>
      </w:r>
    </w:p>
    <w:p w14:paraId="269CC1C6" w14:textId="77777777" w:rsidR="00EA611E" w:rsidRPr="00FD3629" w:rsidRDefault="00EA611E" w:rsidP="006F70EA">
      <w:pPr>
        <w:ind w:left="567" w:hanging="567"/>
        <w:rPr>
          <w:rFonts w:eastAsia="Times New Roman" w:cs="Times New Roman"/>
          <w:color w:val="000000"/>
          <w:szCs w:val="24"/>
          <w:lang w:eastAsia="tr-TR"/>
        </w:rPr>
      </w:pPr>
    </w:p>
    <w:p w14:paraId="66C28E63" w14:textId="77777777" w:rsidR="00EA611E" w:rsidRPr="00FD3629" w:rsidRDefault="00EA611E" w:rsidP="006F70EA">
      <w:pPr>
        <w:pStyle w:val="ListeParagraf"/>
        <w:numPr>
          <w:ilvl w:val="0"/>
          <w:numId w:val="1"/>
        </w:numPr>
        <w:ind w:left="567" w:hanging="567"/>
        <w:rPr>
          <w:rFonts w:eastAsia="Times New Roman" w:cs="Times New Roman"/>
          <w:color w:val="000000"/>
          <w:szCs w:val="24"/>
          <w:lang w:eastAsia="tr-TR"/>
        </w:rPr>
      </w:pPr>
      <w:r w:rsidRPr="00FD3629">
        <w:rPr>
          <w:rFonts w:eastAsia="Times New Roman" w:cs="Times New Roman"/>
          <w:color w:val="000000"/>
          <w:szCs w:val="24"/>
          <w:lang w:eastAsia="tr-TR"/>
        </w:rPr>
        <w:lastRenderedPageBreak/>
        <w:t xml:space="preserve">Tebliğin 8 inci maddesinin 3 üncü fıkrasında </w:t>
      </w:r>
      <w:r w:rsidR="00D971E0" w:rsidRPr="00FD3629">
        <w:rPr>
          <w:rFonts w:eastAsia="Times New Roman" w:cs="Times New Roman"/>
          <w:color w:val="000000"/>
          <w:szCs w:val="24"/>
          <w:lang w:eastAsia="tr-TR"/>
        </w:rPr>
        <w:t>düzenlenen “</w:t>
      </w:r>
      <w:r w:rsidRPr="00FD3629">
        <w:rPr>
          <w:rFonts w:eastAsia="Times New Roman" w:cs="Times New Roman"/>
          <w:color w:val="000000"/>
          <w:szCs w:val="24"/>
          <w:lang w:eastAsia="tr-TR"/>
        </w:rPr>
        <w:t xml:space="preserve">daha önce bu kapsama dâhil olan tüketicilerden” kasıt Tebliğin yürürlüğe girdiği tarihten itibaren herhangi bir dönemde yüksek tüketimli tüketici statüsünü kazanmış tüketicilerdir. Aynı fıkrada yer alan “hemen” ifadesi ise “tüketicinin daha sonradan, yeniden Kurulca belirlenen yüksek tüketim miktarına eriştiğinin anlaşıldığı fatura döneminden bir sonraki fatura döneminin ilk günü” olarak anlaşılmaktadır. </w:t>
      </w:r>
    </w:p>
    <w:p w14:paraId="50DD546A" w14:textId="77777777" w:rsidR="00EA611E" w:rsidRPr="00FD3629" w:rsidRDefault="00EA611E" w:rsidP="006F70EA">
      <w:pPr>
        <w:ind w:left="567" w:hanging="567"/>
        <w:rPr>
          <w:rFonts w:eastAsia="Times New Roman" w:cs="Times New Roman"/>
          <w:color w:val="000000"/>
          <w:szCs w:val="24"/>
          <w:lang w:eastAsia="tr-TR"/>
        </w:rPr>
      </w:pPr>
    </w:p>
    <w:p w14:paraId="55FC484A" w14:textId="4D10680D" w:rsidR="00EA611E" w:rsidRPr="00FD3629" w:rsidRDefault="00EA611E" w:rsidP="006F70EA">
      <w:pPr>
        <w:pStyle w:val="ListeParagraf"/>
        <w:numPr>
          <w:ilvl w:val="0"/>
          <w:numId w:val="1"/>
        </w:numPr>
        <w:ind w:left="567" w:hanging="567"/>
        <w:rPr>
          <w:rFonts w:eastAsia="Times New Roman" w:cs="Times New Roman"/>
          <w:color w:val="000000"/>
          <w:szCs w:val="24"/>
          <w:lang w:eastAsia="tr-TR"/>
        </w:rPr>
      </w:pPr>
      <w:r w:rsidRPr="00FD3629">
        <w:rPr>
          <w:rFonts w:eastAsia="Times New Roman" w:cs="Times New Roman"/>
          <w:color w:val="000000"/>
          <w:szCs w:val="24"/>
          <w:lang w:eastAsia="tr-TR"/>
        </w:rPr>
        <w:t>Bir tüketicinin yüksek tüketimli tüketici limitini görevli tedarik şirketi dışındaki diğer bir tedarikçid</w:t>
      </w:r>
      <w:r w:rsidR="00043944">
        <w:rPr>
          <w:rFonts w:eastAsia="Times New Roman" w:cs="Times New Roman"/>
          <w:color w:val="000000"/>
          <w:szCs w:val="24"/>
          <w:lang w:eastAsia="tr-TR"/>
        </w:rPr>
        <w:t>en enerji temin ederken</w:t>
      </w:r>
      <w:r w:rsidRPr="00FD3629">
        <w:rPr>
          <w:rFonts w:eastAsia="Times New Roman" w:cs="Times New Roman"/>
          <w:color w:val="000000"/>
          <w:szCs w:val="24"/>
          <w:lang w:eastAsia="tr-TR"/>
        </w:rPr>
        <w:t xml:space="preserve"> geçmesi durumunda bu tüketiciye limiti geçtiği dönemde bildirim yapılmalı ve Tebliğin 8 inci maddesinin üçüncü fıkrasında yer alan süre sonunda görevli tedarik şirketine dönme</w:t>
      </w:r>
      <w:r w:rsidR="00F6149E">
        <w:rPr>
          <w:rFonts w:eastAsia="Times New Roman" w:cs="Times New Roman"/>
          <w:color w:val="000000"/>
          <w:szCs w:val="24"/>
          <w:lang w:eastAsia="tr-TR"/>
        </w:rPr>
        <w:t>si durumunda</w:t>
      </w:r>
      <w:r w:rsidRPr="00FD3629">
        <w:rPr>
          <w:rFonts w:eastAsia="Times New Roman" w:cs="Times New Roman"/>
          <w:color w:val="000000"/>
          <w:szCs w:val="24"/>
          <w:lang w:eastAsia="tr-TR"/>
        </w:rPr>
        <w:t xml:space="preserve"> </w:t>
      </w:r>
      <w:r w:rsidR="00FD3A15">
        <w:rPr>
          <w:rFonts w:eastAsia="Times New Roman" w:cs="Times New Roman"/>
          <w:color w:val="000000"/>
          <w:szCs w:val="24"/>
          <w:lang w:eastAsia="tr-TR"/>
        </w:rPr>
        <w:t xml:space="preserve">Tebliğ kapsamında son kaynak tedarik tarifesinden </w:t>
      </w:r>
      <w:r w:rsidRPr="00FD3629">
        <w:rPr>
          <w:rFonts w:eastAsia="Times New Roman" w:cs="Times New Roman"/>
          <w:color w:val="000000"/>
          <w:szCs w:val="24"/>
          <w:lang w:eastAsia="tr-TR"/>
        </w:rPr>
        <w:t>faturalandırılacağı bildirilmelidir.</w:t>
      </w:r>
    </w:p>
    <w:p w14:paraId="4A6E1A4C" w14:textId="77777777" w:rsidR="00EA611E" w:rsidRPr="00FD3629" w:rsidRDefault="00EA611E" w:rsidP="006F70EA">
      <w:pPr>
        <w:ind w:left="567" w:hanging="567"/>
        <w:rPr>
          <w:rFonts w:eastAsia="Times New Roman" w:cs="Times New Roman"/>
          <w:color w:val="000000"/>
          <w:szCs w:val="24"/>
          <w:lang w:eastAsia="tr-TR"/>
        </w:rPr>
      </w:pPr>
      <w:r w:rsidRPr="00FD3629">
        <w:rPr>
          <w:rFonts w:eastAsia="Times New Roman" w:cs="Times New Roman"/>
          <w:color w:val="000000"/>
          <w:szCs w:val="24"/>
          <w:lang w:eastAsia="tr-TR"/>
        </w:rPr>
        <w:t xml:space="preserve"> </w:t>
      </w:r>
    </w:p>
    <w:p w14:paraId="7CF3A029" w14:textId="68CB4A42" w:rsidR="00EA611E" w:rsidRPr="00FD3629" w:rsidRDefault="00EA611E" w:rsidP="006F70EA">
      <w:pPr>
        <w:pStyle w:val="ListeParagraf"/>
        <w:numPr>
          <w:ilvl w:val="0"/>
          <w:numId w:val="1"/>
        </w:numPr>
        <w:ind w:left="567" w:hanging="567"/>
        <w:rPr>
          <w:rFonts w:eastAsia="Times New Roman" w:cs="Times New Roman"/>
          <w:color w:val="000000"/>
          <w:szCs w:val="24"/>
          <w:lang w:eastAsia="tr-TR"/>
        </w:rPr>
      </w:pPr>
      <w:r w:rsidRPr="00FD3629">
        <w:rPr>
          <w:rFonts w:eastAsia="Times New Roman" w:cs="Times New Roman"/>
          <w:color w:val="000000"/>
          <w:szCs w:val="24"/>
          <w:lang w:eastAsia="tr-TR"/>
        </w:rPr>
        <w:t>2019 yılı için belirlenen yüksek tüketim miktarını 2018 yılı içinde aşan tüketiciler için gerekli bildirim tüketicinin 2018 yılı içinde bu limiti aştığının anlaşıldığı tarihten itibaren 15 gün içinde yapılmalıdır. Bunun anlaşılması için 2019 yılı için geçerli olacak tüketim miktarını belirleyen 18/10/2018 tarihli ve 8135 sayılı Kurul Kararı 20/10/2018 tarihli ve 30571 sayılı Resm</w:t>
      </w:r>
      <w:r w:rsidR="009F5EE1">
        <w:rPr>
          <w:rFonts w:eastAsia="Times New Roman" w:cs="Times New Roman"/>
          <w:color w:val="000000"/>
          <w:szCs w:val="24"/>
          <w:lang w:eastAsia="tr-TR"/>
        </w:rPr>
        <w:t>î</w:t>
      </w:r>
      <w:r w:rsidRPr="00FD3629">
        <w:rPr>
          <w:rFonts w:eastAsia="Times New Roman" w:cs="Times New Roman"/>
          <w:color w:val="000000"/>
          <w:szCs w:val="24"/>
          <w:lang w:eastAsia="tr-TR"/>
        </w:rPr>
        <w:t xml:space="preserve"> Gazetede yayımlanmıştır.</w:t>
      </w:r>
      <w:r w:rsidR="00043944">
        <w:rPr>
          <w:rFonts w:eastAsia="Times New Roman" w:cs="Times New Roman"/>
          <w:color w:val="000000"/>
          <w:szCs w:val="24"/>
          <w:lang w:eastAsia="tr-TR"/>
        </w:rPr>
        <w:t xml:space="preserve"> </w:t>
      </w:r>
      <w:r w:rsidRPr="00FD3629">
        <w:rPr>
          <w:rFonts w:eastAsia="Times New Roman" w:cs="Times New Roman"/>
          <w:color w:val="000000"/>
          <w:szCs w:val="24"/>
          <w:lang w:eastAsia="tr-TR"/>
        </w:rPr>
        <w:t>2019 yılı itibari ile yüksek tüketimli tüketici grubunu belirleyen miktara erişilmiş i</w:t>
      </w:r>
      <w:r w:rsidR="00F6149E">
        <w:rPr>
          <w:rFonts w:eastAsia="Times New Roman" w:cs="Times New Roman"/>
          <w:color w:val="000000"/>
          <w:szCs w:val="24"/>
          <w:lang w:eastAsia="tr-TR"/>
        </w:rPr>
        <w:t>s</w:t>
      </w:r>
      <w:r w:rsidRPr="00FD3629">
        <w:rPr>
          <w:rFonts w:eastAsia="Times New Roman" w:cs="Times New Roman"/>
          <w:color w:val="000000"/>
          <w:szCs w:val="24"/>
          <w:lang w:eastAsia="tr-TR"/>
        </w:rPr>
        <w:t>e bildirim 2019 yılı içinde tüketicinin bu limiti aştığının anlaşıldığı tarihten itibaren 15 gün içinde yapılmalıdır.</w:t>
      </w:r>
    </w:p>
    <w:p w14:paraId="29543AD5" w14:textId="77777777" w:rsidR="00EA611E" w:rsidRPr="00FD3629" w:rsidRDefault="00EA611E" w:rsidP="006F70EA">
      <w:pPr>
        <w:ind w:left="567" w:hanging="567"/>
        <w:rPr>
          <w:rFonts w:eastAsia="Times New Roman" w:cs="Times New Roman"/>
          <w:color w:val="000000"/>
          <w:szCs w:val="24"/>
          <w:lang w:eastAsia="tr-TR"/>
        </w:rPr>
      </w:pPr>
    </w:p>
    <w:p w14:paraId="1F61D3A0" w14:textId="59ECAB94" w:rsidR="00EA611E" w:rsidRPr="00FD3629" w:rsidRDefault="00EA611E" w:rsidP="006F70EA">
      <w:pPr>
        <w:pStyle w:val="ListeParagraf"/>
        <w:numPr>
          <w:ilvl w:val="0"/>
          <w:numId w:val="1"/>
        </w:numPr>
        <w:ind w:left="567" w:hanging="567"/>
        <w:rPr>
          <w:rFonts w:eastAsia="Times New Roman" w:cs="Times New Roman"/>
          <w:color w:val="000000"/>
          <w:szCs w:val="24"/>
          <w:lang w:eastAsia="tr-TR"/>
        </w:rPr>
      </w:pPr>
      <w:r w:rsidRPr="00FD3629">
        <w:rPr>
          <w:rFonts w:eastAsia="Times New Roman" w:cs="Times New Roman"/>
          <w:color w:val="000000"/>
          <w:szCs w:val="24"/>
          <w:lang w:eastAsia="tr-TR"/>
        </w:rPr>
        <w:t xml:space="preserve">Son kaynak tedarik tarifesi kapsamında olan bir </w:t>
      </w:r>
      <w:r w:rsidR="00F6149E">
        <w:rPr>
          <w:rFonts w:eastAsia="Times New Roman" w:cs="Times New Roman"/>
          <w:color w:val="000000"/>
          <w:szCs w:val="24"/>
          <w:lang w:eastAsia="tr-TR"/>
        </w:rPr>
        <w:t>tüketici</w:t>
      </w:r>
      <w:r w:rsidRPr="00FD3629">
        <w:rPr>
          <w:rFonts w:eastAsia="Times New Roman" w:cs="Times New Roman"/>
          <w:color w:val="000000"/>
          <w:szCs w:val="24"/>
          <w:lang w:eastAsia="tr-TR"/>
        </w:rPr>
        <w:t>, vergi numarası aynı kalmak koşulu ile unvan değiştirirse, bu tarife kapsamında kalmaya devam edecektir.</w:t>
      </w:r>
    </w:p>
    <w:p w14:paraId="0700573A" w14:textId="77777777" w:rsidR="00EA611E" w:rsidRPr="00FD3629" w:rsidRDefault="00EA611E" w:rsidP="006F70EA">
      <w:pPr>
        <w:ind w:left="567" w:hanging="567"/>
        <w:rPr>
          <w:rFonts w:eastAsia="Times New Roman" w:cs="Times New Roman"/>
          <w:color w:val="000000"/>
          <w:szCs w:val="24"/>
          <w:lang w:eastAsia="tr-TR"/>
        </w:rPr>
      </w:pPr>
    </w:p>
    <w:p w14:paraId="331F0518" w14:textId="77777777" w:rsidR="00EA611E" w:rsidRPr="00FD3629" w:rsidRDefault="00EA611E" w:rsidP="006F70EA">
      <w:pPr>
        <w:pStyle w:val="ListeParagraf"/>
        <w:numPr>
          <w:ilvl w:val="0"/>
          <w:numId w:val="1"/>
        </w:numPr>
        <w:ind w:left="567" w:hanging="567"/>
        <w:rPr>
          <w:rFonts w:cs="Times New Roman"/>
          <w:szCs w:val="24"/>
        </w:rPr>
      </w:pPr>
      <w:r w:rsidRPr="00FD3629">
        <w:rPr>
          <w:rFonts w:cs="Times New Roman"/>
          <w:szCs w:val="24"/>
        </w:rPr>
        <w:t xml:space="preserve">Yüksek tüketimli tüketiciler için belirlenen son kaynak tedarik tarifesi ilk kez yüksek tüketimli tüketici grubuna dâhil olan tüketiciler için, </w:t>
      </w:r>
      <w:r w:rsidRPr="00FD3629">
        <w:rPr>
          <w:rFonts w:eastAsia="Times New Roman" w:cs="Times New Roman"/>
          <w:spacing w:val="-1"/>
          <w:szCs w:val="24"/>
          <w:lang w:eastAsia="tr-TR"/>
        </w:rPr>
        <w:t>bir</w:t>
      </w:r>
      <w:r w:rsidRPr="00FD3629">
        <w:rPr>
          <w:rFonts w:eastAsia="Times New Roman" w:cs="Times New Roman"/>
          <w:spacing w:val="-12"/>
          <w:szCs w:val="24"/>
          <w:lang w:eastAsia="tr-TR"/>
        </w:rPr>
        <w:t xml:space="preserve"> </w:t>
      </w:r>
      <w:r w:rsidRPr="00FD3629">
        <w:rPr>
          <w:rFonts w:eastAsia="Times New Roman" w:cs="Times New Roman"/>
          <w:spacing w:val="-1"/>
          <w:szCs w:val="24"/>
          <w:lang w:eastAsia="tr-TR"/>
        </w:rPr>
        <w:t>önceki</w:t>
      </w:r>
      <w:r w:rsidRPr="00FD3629">
        <w:rPr>
          <w:rFonts w:eastAsia="Times New Roman" w:cs="Times New Roman"/>
          <w:spacing w:val="-12"/>
          <w:szCs w:val="24"/>
          <w:lang w:eastAsia="tr-TR"/>
        </w:rPr>
        <w:t xml:space="preserve"> </w:t>
      </w:r>
      <w:r w:rsidRPr="00FD3629">
        <w:rPr>
          <w:rFonts w:eastAsia="Times New Roman" w:cs="Times New Roman"/>
          <w:spacing w:val="-1"/>
          <w:szCs w:val="24"/>
          <w:lang w:eastAsia="tr-TR"/>
        </w:rPr>
        <w:t>takvim</w:t>
      </w:r>
      <w:r w:rsidRPr="00FD3629">
        <w:rPr>
          <w:rFonts w:eastAsia="Times New Roman" w:cs="Times New Roman"/>
          <w:spacing w:val="-12"/>
          <w:szCs w:val="24"/>
          <w:lang w:eastAsia="tr-TR"/>
        </w:rPr>
        <w:t xml:space="preserve"> </w:t>
      </w:r>
      <w:r w:rsidRPr="00FD3629">
        <w:rPr>
          <w:rFonts w:eastAsia="Times New Roman" w:cs="Times New Roman"/>
          <w:spacing w:val="-1"/>
          <w:szCs w:val="24"/>
          <w:lang w:eastAsia="tr-TR"/>
        </w:rPr>
        <w:t>yılında</w:t>
      </w:r>
      <w:r w:rsidRPr="00FD3629">
        <w:rPr>
          <w:rFonts w:eastAsia="Times New Roman" w:cs="Times New Roman"/>
          <w:spacing w:val="-12"/>
          <w:szCs w:val="24"/>
          <w:lang w:eastAsia="tr-TR"/>
        </w:rPr>
        <w:t xml:space="preserve"> </w:t>
      </w:r>
      <w:r w:rsidRPr="00FD3629">
        <w:rPr>
          <w:rFonts w:eastAsia="Times New Roman" w:cs="Times New Roman"/>
          <w:spacing w:val="-1"/>
          <w:szCs w:val="24"/>
          <w:lang w:eastAsia="tr-TR"/>
        </w:rPr>
        <w:t>veya</w:t>
      </w:r>
      <w:r w:rsidRPr="00FD3629">
        <w:rPr>
          <w:rFonts w:eastAsia="Times New Roman" w:cs="Times New Roman"/>
          <w:spacing w:val="-12"/>
          <w:szCs w:val="24"/>
          <w:lang w:eastAsia="tr-TR"/>
        </w:rPr>
        <w:t xml:space="preserve"> </w:t>
      </w:r>
      <w:r w:rsidRPr="00FD3629">
        <w:rPr>
          <w:rFonts w:eastAsia="Times New Roman" w:cs="Times New Roman"/>
          <w:spacing w:val="-1"/>
          <w:szCs w:val="24"/>
          <w:lang w:eastAsia="tr-TR"/>
        </w:rPr>
        <w:t>içinde</w:t>
      </w:r>
      <w:r w:rsidRPr="00FD3629">
        <w:rPr>
          <w:rFonts w:eastAsia="Times New Roman" w:cs="Times New Roman"/>
          <w:spacing w:val="-12"/>
          <w:szCs w:val="24"/>
          <w:lang w:eastAsia="tr-TR"/>
        </w:rPr>
        <w:t xml:space="preserve"> </w:t>
      </w:r>
      <w:r w:rsidRPr="00FD3629">
        <w:rPr>
          <w:rFonts w:eastAsia="Times New Roman" w:cs="Times New Roman"/>
          <w:spacing w:val="-1"/>
          <w:szCs w:val="24"/>
          <w:lang w:eastAsia="tr-TR"/>
        </w:rPr>
        <w:t>bulunulan</w:t>
      </w:r>
      <w:r w:rsidRPr="00FD3629">
        <w:rPr>
          <w:rFonts w:eastAsia="Times New Roman" w:cs="Times New Roman"/>
          <w:spacing w:val="-12"/>
          <w:szCs w:val="24"/>
          <w:lang w:eastAsia="tr-TR"/>
        </w:rPr>
        <w:t xml:space="preserve"> </w:t>
      </w:r>
      <w:r w:rsidRPr="00FD3629">
        <w:rPr>
          <w:rFonts w:eastAsia="Times New Roman" w:cs="Times New Roman"/>
          <w:spacing w:val="-1"/>
          <w:szCs w:val="24"/>
          <w:lang w:eastAsia="tr-TR"/>
        </w:rPr>
        <w:t>yılda,</w:t>
      </w:r>
      <w:r w:rsidRPr="00FD3629">
        <w:rPr>
          <w:rFonts w:eastAsia="Times New Roman" w:cs="Times New Roman"/>
          <w:spacing w:val="-12"/>
          <w:szCs w:val="24"/>
          <w:lang w:eastAsia="tr-TR"/>
        </w:rPr>
        <w:t xml:space="preserve"> </w:t>
      </w:r>
      <w:r w:rsidRPr="00FD3629">
        <w:rPr>
          <w:rFonts w:cs="Times New Roman"/>
          <w:szCs w:val="24"/>
        </w:rPr>
        <w:t xml:space="preserve">bu tüketici grubunu belirleyen tüketim miktarına erişildiği tarihi içeren takvim ayını takip eden üçüncü takvim ayının ilk gününden itibaren uygulanmaya başlanmaktadır. Bu kapsamda tüketim hesabında bir takvim yılı esas alınmaktadır. </w:t>
      </w:r>
      <w:proofErr w:type="gramStart"/>
      <w:r w:rsidRPr="00FD3629">
        <w:rPr>
          <w:rFonts w:cs="Times New Roman"/>
          <w:szCs w:val="24"/>
        </w:rPr>
        <w:t>Örneğin 15 Aralık</w:t>
      </w:r>
      <w:r w:rsidR="009F5EE1">
        <w:rPr>
          <w:rFonts w:cs="Times New Roman"/>
          <w:szCs w:val="24"/>
        </w:rPr>
        <w:t xml:space="preserve"> 2018 </w:t>
      </w:r>
      <w:r w:rsidRPr="00FD3629">
        <w:rPr>
          <w:rFonts w:cs="Times New Roman"/>
          <w:szCs w:val="24"/>
        </w:rPr>
        <w:t>-</w:t>
      </w:r>
      <w:r w:rsidR="009F5EE1">
        <w:rPr>
          <w:rFonts w:cs="Times New Roman"/>
          <w:szCs w:val="24"/>
        </w:rPr>
        <w:t xml:space="preserve"> </w:t>
      </w:r>
      <w:r w:rsidRPr="00FD3629">
        <w:rPr>
          <w:rFonts w:cs="Times New Roman"/>
          <w:szCs w:val="24"/>
        </w:rPr>
        <w:t xml:space="preserve">15 Ocak </w:t>
      </w:r>
      <w:r w:rsidR="009F5EE1">
        <w:rPr>
          <w:rFonts w:cs="Times New Roman"/>
          <w:szCs w:val="24"/>
        </w:rPr>
        <w:t xml:space="preserve">2019 </w:t>
      </w:r>
      <w:r w:rsidRPr="00FD3629">
        <w:rPr>
          <w:rFonts w:cs="Times New Roman"/>
          <w:szCs w:val="24"/>
        </w:rPr>
        <w:t xml:space="preserve">dönemine ait </w:t>
      </w:r>
      <w:r w:rsidR="007617D1">
        <w:rPr>
          <w:rFonts w:cs="Times New Roman"/>
          <w:szCs w:val="24"/>
        </w:rPr>
        <w:t xml:space="preserve">tüketim içeren </w:t>
      </w:r>
      <w:r w:rsidRPr="00FD3629">
        <w:rPr>
          <w:rFonts w:cs="Times New Roman"/>
          <w:szCs w:val="24"/>
        </w:rPr>
        <w:t xml:space="preserve">bir fatura var ise </w:t>
      </w:r>
      <w:r w:rsidR="007617D1">
        <w:rPr>
          <w:rFonts w:cs="Times New Roman"/>
          <w:szCs w:val="24"/>
        </w:rPr>
        <w:t xml:space="preserve">ve bu faturaya esas ölçüm dikkate alınarak limit hesabı yapılacaksa </w:t>
      </w:r>
      <w:r w:rsidRPr="00FD3629">
        <w:rPr>
          <w:rFonts w:cs="Times New Roman"/>
          <w:szCs w:val="24"/>
        </w:rPr>
        <w:t xml:space="preserve">bu durumda </w:t>
      </w:r>
      <w:r w:rsidR="009F5EE1">
        <w:rPr>
          <w:rFonts w:cs="Times New Roman"/>
          <w:szCs w:val="24"/>
        </w:rPr>
        <w:t>2019</w:t>
      </w:r>
      <w:r w:rsidRPr="00FD3629">
        <w:rPr>
          <w:rFonts w:cs="Times New Roman"/>
          <w:szCs w:val="24"/>
        </w:rPr>
        <w:t xml:space="preserve"> yılında yüksek tüketimli tüketici grubunu belirleyen limite erişilip erişilmediği hesap edilirken </w:t>
      </w:r>
      <w:r w:rsidR="009F5EE1">
        <w:rPr>
          <w:rFonts w:cs="Times New Roman"/>
          <w:szCs w:val="24"/>
        </w:rPr>
        <w:t>2019</w:t>
      </w:r>
      <w:r w:rsidR="009F5EE1" w:rsidRPr="00FD3629">
        <w:rPr>
          <w:rFonts w:cs="Times New Roman"/>
          <w:szCs w:val="24"/>
        </w:rPr>
        <w:t xml:space="preserve"> </w:t>
      </w:r>
      <w:r w:rsidRPr="00FD3629">
        <w:rPr>
          <w:rFonts w:cs="Times New Roman"/>
          <w:szCs w:val="24"/>
        </w:rPr>
        <w:t>yılın</w:t>
      </w:r>
      <w:r w:rsidR="009F5EE1">
        <w:rPr>
          <w:rFonts w:cs="Times New Roman"/>
          <w:szCs w:val="24"/>
        </w:rPr>
        <w:t>ın</w:t>
      </w:r>
      <w:r w:rsidRPr="00FD3629">
        <w:rPr>
          <w:rFonts w:cs="Times New Roman"/>
          <w:szCs w:val="24"/>
        </w:rPr>
        <w:t xml:space="preserve"> ocak ayının ilk gününden itibaren söz konusu olan tüketimler (1 Ocak-15 Ocak) hesaba katılacaktır.</w:t>
      </w:r>
      <w:r w:rsidR="009F5EE1">
        <w:rPr>
          <w:rFonts w:cs="Times New Roman"/>
          <w:szCs w:val="24"/>
        </w:rPr>
        <w:t xml:space="preserve"> </w:t>
      </w:r>
      <w:proofErr w:type="gramEnd"/>
      <w:r w:rsidR="009F5EE1">
        <w:rPr>
          <w:rFonts w:cs="Times New Roman"/>
          <w:szCs w:val="24"/>
        </w:rPr>
        <w:t>Aynı şekilde, 2018</w:t>
      </w:r>
      <w:r w:rsidR="009F5EE1" w:rsidRPr="00FD3629">
        <w:rPr>
          <w:rFonts w:cs="Times New Roman"/>
          <w:szCs w:val="24"/>
        </w:rPr>
        <w:t xml:space="preserve"> yılında yüksek tüketimli tüketici grubunu belirleyen limite erişilip erişilmediği hesap edilirken </w:t>
      </w:r>
      <w:r w:rsidR="009F5EE1">
        <w:rPr>
          <w:rFonts w:cs="Times New Roman"/>
          <w:szCs w:val="24"/>
        </w:rPr>
        <w:t>2018</w:t>
      </w:r>
      <w:r w:rsidR="009F5EE1" w:rsidRPr="00FD3629">
        <w:rPr>
          <w:rFonts w:cs="Times New Roman"/>
          <w:szCs w:val="24"/>
        </w:rPr>
        <w:t xml:space="preserve"> yılın</w:t>
      </w:r>
      <w:r w:rsidR="009F5EE1">
        <w:rPr>
          <w:rFonts w:cs="Times New Roman"/>
          <w:szCs w:val="24"/>
        </w:rPr>
        <w:t>ın</w:t>
      </w:r>
      <w:r w:rsidR="009F5EE1" w:rsidRPr="00FD3629">
        <w:rPr>
          <w:rFonts w:cs="Times New Roman"/>
          <w:szCs w:val="24"/>
        </w:rPr>
        <w:t xml:space="preserve"> </w:t>
      </w:r>
      <w:r w:rsidR="009F5EE1">
        <w:rPr>
          <w:rFonts w:cs="Times New Roman"/>
          <w:szCs w:val="24"/>
        </w:rPr>
        <w:t>aralık</w:t>
      </w:r>
      <w:r w:rsidR="009F5EE1" w:rsidRPr="00FD3629">
        <w:rPr>
          <w:rFonts w:cs="Times New Roman"/>
          <w:szCs w:val="24"/>
        </w:rPr>
        <w:t xml:space="preserve"> ayının </w:t>
      </w:r>
      <w:r w:rsidR="009F5EE1">
        <w:rPr>
          <w:rFonts w:cs="Times New Roman"/>
          <w:szCs w:val="24"/>
        </w:rPr>
        <w:t>son</w:t>
      </w:r>
      <w:r w:rsidR="009F5EE1" w:rsidRPr="00FD3629">
        <w:rPr>
          <w:rFonts w:cs="Times New Roman"/>
          <w:szCs w:val="24"/>
        </w:rPr>
        <w:t xml:space="preserve"> günün</w:t>
      </w:r>
      <w:r w:rsidR="009F5EE1">
        <w:rPr>
          <w:rFonts w:cs="Times New Roman"/>
          <w:szCs w:val="24"/>
        </w:rPr>
        <w:t>e</w:t>
      </w:r>
      <w:r w:rsidR="009F5EE1" w:rsidRPr="00FD3629">
        <w:rPr>
          <w:rFonts w:cs="Times New Roman"/>
          <w:szCs w:val="24"/>
        </w:rPr>
        <w:t xml:space="preserve"> </w:t>
      </w:r>
      <w:r w:rsidR="009F5EE1">
        <w:rPr>
          <w:rFonts w:cs="Times New Roman"/>
          <w:szCs w:val="24"/>
        </w:rPr>
        <w:t>kadar</w:t>
      </w:r>
      <w:r w:rsidR="009F5EE1" w:rsidRPr="00FD3629">
        <w:rPr>
          <w:rFonts w:cs="Times New Roman"/>
          <w:szCs w:val="24"/>
        </w:rPr>
        <w:t xml:space="preserve"> olan tüketimler (1</w:t>
      </w:r>
      <w:r w:rsidR="009F5EE1">
        <w:rPr>
          <w:rFonts w:cs="Times New Roman"/>
          <w:szCs w:val="24"/>
        </w:rPr>
        <w:t>5</w:t>
      </w:r>
      <w:r w:rsidR="009F5EE1" w:rsidRPr="00FD3629">
        <w:rPr>
          <w:rFonts w:cs="Times New Roman"/>
          <w:szCs w:val="24"/>
        </w:rPr>
        <w:t xml:space="preserve"> </w:t>
      </w:r>
      <w:r w:rsidR="009F5EE1">
        <w:rPr>
          <w:rFonts w:cs="Times New Roman"/>
          <w:szCs w:val="24"/>
        </w:rPr>
        <w:t>Aralık</w:t>
      </w:r>
      <w:r w:rsidR="009F5EE1" w:rsidRPr="00FD3629">
        <w:rPr>
          <w:rFonts w:cs="Times New Roman"/>
          <w:szCs w:val="24"/>
        </w:rPr>
        <w:t>-</w:t>
      </w:r>
      <w:r w:rsidR="009F5EE1">
        <w:rPr>
          <w:rFonts w:cs="Times New Roman"/>
          <w:szCs w:val="24"/>
        </w:rPr>
        <w:t>31</w:t>
      </w:r>
      <w:r w:rsidR="009F5EE1" w:rsidRPr="00FD3629">
        <w:rPr>
          <w:rFonts w:cs="Times New Roman"/>
          <w:szCs w:val="24"/>
        </w:rPr>
        <w:t xml:space="preserve"> </w:t>
      </w:r>
      <w:r w:rsidR="009F5EE1">
        <w:rPr>
          <w:rFonts w:cs="Times New Roman"/>
          <w:szCs w:val="24"/>
        </w:rPr>
        <w:t>Aralık</w:t>
      </w:r>
      <w:r w:rsidR="009F5EE1" w:rsidRPr="00FD3629">
        <w:rPr>
          <w:rFonts w:cs="Times New Roman"/>
          <w:szCs w:val="24"/>
        </w:rPr>
        <w:t>) hesaba katılacaktır</w:t>
      </w:r>
      <w:r w:rsidR="00FD3A15">
        <w:rPr>
          <w:rFonts w:cs="Times New Roman"/>
          <w:szCs w:val="24"/>
        </w:rPr>
        <w:t>.</w:t>
      </w:r>
    </w:p>
    <w:p w14:paraId="481325F6" w14:textId="77777777" w:rsidR="00EA611E" w:rsidRPr="00FD3629" w:rsidRDefault="00EA611E" w:rsidP="006F70EA">
      <w:pPr>
        <w:ind w:left="567" w:hanging="567"/>
        <w:rPr>
          <w:rFonts w:cs="Times New Roman"/>
          <w:szCs w:val="24"/>
        </w:rPr>
      </w:pPr>
    </w:p>
    <w:p w14:paraId="21A429B5" w14:textId="77777777" w:rsidR="00EA611E" w:rsidRPr="00FD3629" w:rsidRDefault="00EA611E" w:rsidP="006F70EA">
      <w:pPr>
        <w:pStyle w:val="ListeParagraf"/>
        <w:numPr>
          <w:ilvl w:val="0"/>
          <w:numId w:val="1"/>
        </w:numPr>
        <w:ind w:left="567" w:hanging="567"/>
        <w:rPr>
          <w:rFonts w:cs="Times New Roman"/>
          <w:szCs w:val="24"/>
        </w:rPr>
      </w:pPr>
      <w:r w:rsidRPr="00FD3629">
        <w:rPr>
          <w:rFonts w:cs="Times New Roman"/>
          <w:szCs w:val="24"/>
        </w:rPr>
        <w:t xml:space="preserve">Tebliğin 6 </w:t>
      </w:r>
      <w:proofErr w:type="spellStart"/>
      <w:r w:rsidRPr="00FD3629">
        <w:rPr>
          <w:rFonts w:cs="Times New Roman"/>
          <w:szCs w:val="24"/>
        </w:rPr>
        <w:t>ncı</w:t>
      </w:r>
      <w:proofErr w:type="spellEnd"/>
      <w:r w:rsidRPr="00FD3629">
        <w:rPr>
          <w:rFonts w:cs="Times New Roman"/>
          <w:szCs w:val="24"/>
        </w:rPr>
        <w:t xml:space="preserve"> maddesi kapsamında belirlenen KBK, 1/1/2019 tarihinden itibaren 1,0938 olarak uygulanacaktır. Yüksek tüketimli tüketicilerin 2018 ve 2019 yılı içerisinde yer alan tüketimlerini kapsayan fatura dönemi için ilgili yıllarda geçerli olan KBK dikkate alınacak ve </w:t>
      </w:r>
      <w:r w:rsidR="00C516EF">
        <w:rPr>
          <w:rFonts w:cs="Times New Roman"/>
          <w:szCs w:val="24"/>
        </w:rPr>
        <w:t xml:space="preserve">ilgili yıllara ait tüketimler için ilgili yılın </w:t>
      </w:r>
      <w:proofErr w:type="spellStart"/>
      <w:r w:rsidR="00C516EF">
        <w:rPr>
          <w:rFonts w:cs="Times New Roman"/>
          <w:szCs w:val="24"/>
        </w:rPr>
        <w:t>KBK’ları</w:t>
      </w:r>
      <w:proofErr w:type="spellEnd"/>
      <w:r w:rsidR="00C516EF">
        <w:rPr>
          <w:rFonts w:cs="Times New Roman"/>
          <w:szCs w:val="24"/>
        </w:rPr>
        <w:t xml:space="preserve"> arasında </w:t>
      </w:r>
      <w:proofErr w:type="spellStart"/>
      <w:r w:rsidRPr="00FD3629">
        <w:rPr>
          <w:rFonts w:cs="Times New Roman"/>
          <w:szCs w:val="24"/>
        </w:rPr>
        <w:t>kıst</w:t>
      </w:r>
      <w:proofErr w:type="spellEnd"/>
      <w:r w:rsidRPr="00FD3629">
        <w:rPr>
          <w:rFonts w:cs="Times New Roman"/>
          <w:szCs w:val="24"/>
        </w:rPr>
        <w:t xml:space="preserve"> hesabı yapılacaktır.</w:t>
      </w:r>
    </w:p>
    <w:p w14:paraId="31E0C857" w14:textId="77777777" w:rsidR="00EA611E" w:rsidRPr="00FD3629" w:rsidRDefault="00EA611E" w:rsidP="006F70EA">
      <w:pPr>
        <w:ind w:left="567" w:hanging="567"/>
        <w:rPr>
          <w:rFonts w:eastAsia="Times New Roman" w:cs="Times New Roman"/>
          <w:color w:val="000000"/>
          <w:szCs w:val="24"/>
          <w:lang w:eastAsia="tr-TR"/>
        </w:rPr>
      </w:pPr>
    </w:p>
    <w:p w14:paraId="1772854E" w14:textId="77777777" w:rsidR="00EA611E" w:rsidRPr="00FD3629" w:rsidRDefault="00EA611E" w:rsidP="006F70EA">
      <w:pPr>
        <w:pStyle w:val="ListeParagraf"/>
        <w:numPr>
          <w:ilvl w:val="0"/>
          <w:numId w:val="1"/>
        </w:numPr>
        <w:ind w:left="567" w:hanging="567"/>
        <w:rPr>
          <w:rFonts w:eastAsia="Times New Roman" w:cs="Times New Roman"/>
          <w:color w:val="000000"/>
          <w:szCs w:val="24"/>
          <w:lang w:eastAsia="tr-TR"/>
        </w:rPr>
      </w:pPr>
      <w:r w:rsidRPr="00FD3629">
        <w:rPr>
          <w:rFonts w:eastAsia="Times New Roman" w:cs="Times New Roman"/>
          <w:color w:val="000000"/>
          <w:szCs w:val="24"/>
          <w:lang w:eastAsia="tr-TR"/>
        </w:rPr>
        <w:t xml:space="preserve">Güvence bedeline ilişkin hususlar Elektrik Piyasası Tüketici Hizmetleri Yönetmeliği kapsamında uygulanacaktır. </w:t>
      </w:r>
    </w:p>
    <w:p w14:paraId="1F70B0B1" w14:textId="77777777" w:rsidR="00EA611E" w:rsidRPr="00FD3629" w:rsidRDefault="00EA611E" w:rsidP="006F70EA">
      <w:pPr>
        <w:ind w:left="567" w:hanging="567"/>
        <w:rPr>
          <w:rFonts w:eastAsia="Times New Roman" w:cs="Times New Roman"/>
          <w:b/>
          <w:color w:val="000000"/>
          <w:szCs w:val="24"/>
          <w:lang w:eastAsia="tr-TR"/>
        </w:rPr>
      </w:pPr>
    </w:p>
    <w:p w14:paraId="41374859" w14:textId="77777777" w:rsidR="002A5515" w:rsidRPr="00FD3629" w:rsidRDefault="002A5515" w:rsidP="006F70EA">
      <w:pPr>
        <w:pStyle w:val="ListeParagraf"/>
        <w:numPr>
          <w:ilvl w:val="0"/>
          <w:numId w:val="1"/>
        </w:numPr>
        <w:ind w:left="567" w:hanging="567"/>
        <w:rPr>
          <w:rFonts w:eastAsia="Times New Roman" w:cs="Times New Roman"/>
          <w:color w:val="000000"/>
          <w:szCs w:val="24"/>
          <w:lang w:eastAsia="tr-TR"/>
        </w:rPr>
      </w:pPr>
      <w:r w:rsidRPr="004414A2">
        <w:rPr>
          <w:rFonts w:eastAsia="Times New Roman" w:cs="Times New Roman"/>
          <w:i/>
          <w:color w:val="000000"/>
          <w:szCs w:val="24"/>
          <w:lang w:eastAsia="tr-TR"/>
        </w:rPr>
        <w:t xml:space="preserve">Son Kaynak Tedarik Tarifesinin Uygulanmasına İlişkin 1 </w:t>
      </w:r>
      <w:proofErr w:type="spellStart"/>
      <w:r w:rsidRPr="004414A2">
        <w:rPr>
          <w:rFonts w:eastAsia="Times New Roman" w:cs="Times New Roman"/>
          <w:i/>
          <w:color w:val="000000"/>
          <w:szCs w:val="24"/>
          <w:lang w:eastAsia="tr-TR"/>
        </w:rPr>
        <w:t>Nolu</w:t>
      </w:r>
      <w:proofErr w:type="spellEnd"/>
      <w:r w:rsidRPr="004414A2">
        <w:rPr>
          <w:rFonts w:eastAsia="Times New Roman" w:cs="Times New Roman"/>
          <w:i/>
          <w:color w:val="000000"/>
          <w:szCs w:val="24"/>
          <w:lang w:eastAsia="tr-TR"/>
        </w:rPr>
        <w:t xml:space="preserve"> Açıklama</w:t>
      </w:r>
      <w:r w:rsidRPr="004414A2">
        <w:rPr>
          <w:rFonts w:eastAsia="Times New Roman" w:cs="Times New Roman"/>
          <w:color w:val="000000"/>
          <w:szCs w:val="24"/>
          <w:lang w:eastAsia="tr-TR"/>
        </w:rPr>
        <w:t xml:space="preserve">’ da yer aldığı üzere eski </w:t>
      </w:r>
      <w:proofErr w:type="gramStart"/>
      <w:r w:rsidRPr="004414A2">
        <w:rPr>
          <w:rFonts w:eastAsia="Times New Roman" w:cs="Times New Roman"/>
          <w:color w:val="000000"/>
          <w:szCs w:val="24"/>
          <w:lang w:eastAsia="tr-TR"/>
        </w:rPr>
        <w:t>otoprodüktör</w:t>
      </w:r>
      <w:proofErr w:type="gramEnd"/>
      <w:r w:rsidRPr="004414A2">
        <w:rPr>
          <w:rFonts w:eastAsia="Times New Roman" w:cs="Times New Roman"/>
          <w:color w:val="000000"/>
          <w:szCs w:val="24"/>
          <w:lang w:eastAsia="tr-TR"/>
        </w:rPr>
        <w:t xml:space="preserve"> lisansı sahibi santral</w:t>
      </w:r>
      <w:r w:rsidR="005A612F">
        <w:rPr>
          <w:rFonts w:eastAsia="Times New Roman" w:cs="Times New Roman"/>
          <w:color w:val="000000"/>
          <w:szCs w:val="24"/>
          <w:lang w:eastAsia="tr-TR"/>
        </w:rPr>
        <w:t>ler</w:t>
      </w:r>
      <w:r w:rsidRPr="004414A2">
        <w:rPr>
          <w:rFonts w:eastAsia="Times New Roman" w:cs="Times New Roman"/>
          <w:color w:val="000000"/>
          <w:szCs w:val="24"/>
          <w:lang w:eastAsia="tr-TR"/>
        </w:rPr>
        <w:t xml:space="preserve"> tarafından üretilen enerji miktarı, son kaynak limiti kapsamında tüketim hesabına dahil edilmemektedir. Aynı şekilde söz konusu tesislerin </w:t>
      </w:r>
      <w:r w:rsidRPr="004414A2">
        <w:rPr>
          <w:rFonts w:ascii="Segoe UI" w:hAnsi="Segoe UI" w:cs="Segoe UI"/>
          <w:vanish/>
          <w:color w:val="333333"/>
          <w:sz w:val="20"/>
          <w:szCs w:val="20"/>
        </w:rPr>
        <w:t xml:space="preserve"> Tüketim miktarının hesaplanmasında tüketicinin sözleşmesi kapsamında tükettiği enerji miktarı dikkate alınacağından; bu sözleşmeye konu olmayan ve üretim lisansı verilmiş eski otoprodüktör lisansı sahibi santral tarafından üretilen enerji miktarı, tüketim miktarı hesabına dâhil edilmeyecektir.Tüketim miktarının hesaplanmasında tüketicinin sözleşmesi kapsamında tükettiği enerji miktarı dikkate alınacağından; bu sözleşmeye konu olmayan ve üretim lisansı verilmiş eski otoprodüktör lisansı sahibi santral tarafından üretilen enerji miktarı, tüketim miktarı hesabına dâhil edilmeyecektir.</w:t>
      </w:r>
      <w:r w:rsidR="00EA611E" w:rsidRPr="004414A2">
        <w:rPr>
          <w:rFonts w:eastAsia="Times New Roman" w:cs="Times New Roman"/>
          <w:color w:val="000000"/>
          <w:szCs w:val="24"/>
          <w:lang w:eastAsia="tr-TR"/>
        </w:rPr>
        <w:t>K1 veya ST olmayan tüketimleri (</w:t>
      </w:r>
      <w:r w:rsidR="00CA27E8">
        <w:rPr>
          <w:rFonts w:eastAsia="Times New Roman" w:cs="Times New Roman"/>
          <w:color w:val="000000"/>
          <w:szCs w:val="24"/>
          <w:lang w:eastAsia="tr-TR"/>
        </w:rPr>
        <w:t xml:space="preserve"> K1 kapsamında </w:t>
      </w:r>
      <w:r w:rsidR="008D02F2">
        <w:rPr>
          <w:rFonts w:eastAsia="Times New Roman" w:cs="Times New Roman"/>
          <w:color w:val="000000"/>
          <w:szCs w:val="24"/>
          <w:lang w:eastAsia="tr-TR"/>
        </w:rPr>
        <w:t xml:space="preserve">bir perakende satış </w:t>
      </w:r>
      <w:r w:rsidR="008D02F2">
        <w:rPr>
          <w:rFonts w:eastAsia="Times New Roman" w:cs="Times New Roman"/>
          <w:color w:val="000000"/>
          <w:szCs w:val="24"/>
          <w:lang w:eastAsia="tr-TR"/>
        </w:rPr>
        <w:lastRenderedPageBreak/>
        <w:t xml:space="preserve">sözleşmesine veya </w:t>
      </w:r>
      <w:r w:rsidR="00CA27E8">
        <w:rPr>
          <w:rFonts w:eastAsia="Times New Roman" w:cs="Times New Roman"/>
          <w:color w:val="000000"/>
          <w:szCs w:val="24"/>
          <w:lang w:eastAsia="tr-TR"/>
        </w:rPr>
        <w:t xml:space="preserve">ST kapsamında bir </w:t>
      </w:r>
      <w:r w:rsidR="008D02F2">
        <w:rPr>
          <w:rFonts w:eastAsia="Times New Roman" w:cs="Times New Roman"/>
          <w:color w:val="000000"/>
          <w:szCs w:val="24"/>
          <w:lang w:eastAsia="tr-TR"/>
        </w:rPr>
        <w:t>ikili anlaşmaya konu olmayan tüketimleri/</w:t>
      </w:r>
      <w:r w:rsidR="00EA611E" w:rsidRPr="004414A2">
        <w:rPr>
          <w:rFonts w:eastAsia="Times New Roman" w:cs="Times New Roman"/>
          <w:color w:val="000000"/>
          <w:szCs w:val="24"/>
          <w:lang w:eastAsia="tr-TR"/>
        </w:rPr>
        <w:t xml:space="preserve">EPİAŞ tan kendi adlarına yaptıkları </w:t>
      </w:r>
      <w:r w:rsidR="005B1CE5">
        <w:rPr>
          <w:rFonts w:eastAsia="Times New Roman" w:cs="Times New Roman"/>
          <w:color w:val="000000"/>
          <w:szCs w:val="24"/>
          <w:lang w:eastAsia="tr-TR"/>
        </w:rPr>
        <w:t>ç</w:t>
      </w:r>
      <w:r w:rsidR="00EA611E" w:rsidRPr="004414A2">
        <w:rPr>
          <w:rFonts w:eastAsia="Times New Roman" w:cs="Times New Roman"/>
          <w:color w:val="000000"/>
          <w:szCs w:val="24"/>
          <w:lang w:eastAsia="tr-TR"/>
        </w:rPr>
        <w:t xml:space="preserve">ekiş) </w:t>
      </w:r>
      <w:r w:rsidRPr="004414A2">
        <w:rPr>
          <w:rFonts w:eastAsia="Times New Roman" w:cs="Times New Roman"/>
          <w:color w:val="000000"/>
          <w:szCs w:val="24"/>
          <w:lang w:eastAsia="tr-TR"/>
        </w:rPr>
        <w:t xml:space="preserve">veya fazla üretimleri de tüketim hesabına </w:t>
      </w:r>
      <w:proofErr w:type="gramStart"/>
      <w:r w:rsidRPr="004414A2">
        <w:rPr>
          <w:rFonts w:eastAsia="Times New Roman" w:cs="Times New Roman"/>
          <w:color w:val="000000"/>
          <w:szCs w:val="24"/>
          <w:lang w:eastAsia="tr-TR"/>
        </w:rPr>
        <w:t>dahil</w:t>
      </w:r>
      <w:proofErr w:type="gramEnd"/>
      <w:r w:rsidRPr="004414A2">
        <w:rPr>
          <w:rFonts w:eastAsia="Times New Roman" w:cs="Times New Roman"/>
          <w:color w:val="000000"/>
          <w:szCs w:val="24"/>
          <w:lang w:eastAsia="tr-TR"/>
        </w:rPr>
        <w:t xml:space="preserve"> edilmeyecektir.</w:t>
      </w:r>
      <w:r>
        <w:rPr>
          <w:rFonts w:ascii="Segoe UI" w:hAnsi="Segoe UI" w:cs="Segoe UI"/>
          <w:vanish/>
          <w:color w:val="333333"/>
          <w:sz w:val="20"/>
          <w:szCs w:val="20"/>
        </w:rPr>
        <w:t>Tüketim miktarının hesaplanmasında tüketicinin sözleşmesi kapsamında tükettiği enerji miktarı dikkate alınacağından; bu sözleşmeye konu olmayan ve üretim lisansı verilmiş eski otoprodüktör lisansı sahibi santral tarafından üretilen enerji miktarı, tüketim miktarı hesabına dâhil edilmeyecektir.</w:t>
      </w:r>
    </w:p>
    <w:p w14:paraId="00DF5434" w14:textId="77777777" w:rsidR="00EA611E" w:rsidRPr="00FD3629" w:rsidRDefault="00EA611E" w:rsidP="006F70EA">
      <w:pPr>
        <w:ind w:left="567" w:hanging="567"/>
        <w:rPr>
          <w:rFonts w:eastAsia="Times New Roman" w:cs="Times New Roman"/>
          <w:b/>
          <w:color w:val="000000"/>
          <w:szCs w:val="24"/>
          <w:lang w:eastAsia="tr-TR"/>
        </w:rPr>
      </w:pPr>
    </w:p>
    <w:p w14:paraId="12AE0883" w14:textId="77777777" w:rsidR="002A5515" w:rsidRPr="00FD3629" w:rsidRDefault="002A5515" w:rsidP="006F70EA">
      <w:pPr>
        <w:pStyle w:val="ListeParagraf"/>
        <w:numPr>
          <w:ilvl w:val="0"/>
          <w:numId w:val="1"/>
        </w:numPr>
        <w:ind w:left="567" w:hanging="567"/>
        <w:rPr>
          <w:rFonts w:eastAsia="Times New Roman" w:cs="Times New Roman"/>
          <w:b/>
          <w:color w:val="000000"/>
          <w:szCs w:val="24"/>
          <w:lang w:eastAsia="tr-TR"/>
        </w:rPr>
      </w:pPr>
      <w:r w:rsidRPr="004414A2">
        <w:rPr>
          <w:rFonts w:eastAsia="Times New Roman" w:cs="Times New Roman"/>
          <w:color w:val="000000"/>
          <w:szCs w:val="24"/>
          <w:lang w:eastAsia="tr-TR"/>
        </w:rPr>
        <w:t xml:space="preserve">Yüksek tüketimli tüketici limitini geçen bir tüketiciye sorumlu </w:t>
      </w:r>
      <w:r w:rsidR="00EA611E" w:rsidRPr="004414A2">
        <w:rPr>
          <w:rFonts w:eastAsia="Times New Roman" w:cs="Times New Roman"/>
          <w:color w:val="000000"/>
          <w:szCs w:val="24"/>
          <w:lang w:eastAsia="tr-TR"/>
        </w:rPr>
        <w:t>şirket tarafından 15 gün içerisinde bildirim yapılma</w:t>
      </w:r>
      <w:r w:rsidRPr="004414A2">
        <w:rPr>
          <w:rFonts w:eastAsia="Times New Roman" w:cs="Times New Roman"/>
          <w:color w:val="000000"/>
          <w:szCs w:val="24"/>
          <w:lang w:eastAsia="tr-TR"/>
        </w:rPr>
        <w:t>dığı takdirde</w:t>
      </w:r>
      <w:r w:rsidR="00EA611E" w:rsidRPr="004414A2">
        <w:rPr>
          <w:rFonts w:eastAsia="Times New Roman" w:cs="Times New Roman"/>
          <w:color w:val="000000"/>
          <w:szCs w:val="24"/>
          <w:lang w:eastAsia="tr-TR"/>
        </w:rPr>
        <w:t xml:space="preserve"> </w:t>
      </w:r>
      <w:r w:rsidRPr="004414A2">
        <w:rPr>
          <w:rFonts w:eastAsia="Times New Roman" w:cs="Times New Roman"/>
          <w:color w:val="000000"/>
          <w:szCs w:val="24"/>
          <w:lang w:eastAsia="tr-TR"/>
        </w:rPr>
        <w:t xml:space="preserve">yüksek tüketimli tüketiciler için geçerli olan tarife Tebliğ’de yer alan hükümler kapsamında uygulanacak olup bu şekilde tüketiciye Tebliğ kapsamında verilen sürenin engellenmesi durumunda sorumlu şirket hakkında ilgili mevzuat kapsamında işlemler yapılacaktır. </w:t>
      </w:r>
    </w:p>
    <w:p w14:paraId="39895738" w14:textId="77777777" w:rsidR="00EA611E" w:rsidRPr="00FD3629" w:rsidRDefault="00EA611E" w:rsidP="006F70EA">
      <w:pPr>
        <w:ind w:left="567" w:hanging="567"/>
        <w:rPr>
          <w:rFonts w:eastAsia="Times New Roman" w:cs="Times New Roman"/>
          <w:b/>
          <w:color w:val="000000"/>
          <w:szCs w:val="24"/>
          <w:lang w:eastAsia="tr-TR"/>
        </w:rPr>
      </w:pPr>
    </w:p>
    <w:p w14:paraId="64E3C536" w14:textId="77777777" w:rsidR="00C023F5" w:rsidRDefault="002A5515" w:rsidP="006F70EA">
      <w:pPr>
        <w:pStyle w:val="ListeParagraf"/>
        <w:numPr>
          <w:ilvl w:val="0"/>
          <w:numId w:val="1"/>
        </w:numPr>
        <w:ind w:left="567" w:hanging="567"/>
        <w:rPr>
          <w:rFonts w:eastAsia="Times New Roman" w:cs="Times New Roman"/>
          <w:color w:val="000000"/>
          <w:szCs w:val="24"/>
          <w:lang w:eastAsia="tr-TR"/>
        </w:rPr>
      </w:pPr>
      <w:r w:rsidRPr="004414A2">
        <w:rPr>
          <w:rFonts w:eastAsia="Times New Roman" w:cs="Times New Roman"/>
          <w:color w:val="000000"/>
          <w:szCs w:val="24"/>
          <w:lang w:eastAsia="tr-TR"/>
        </w:rPr>
        <w:t xml:space="preserve">Daha öncesinde birden çok kullanım yeri ve </w:t>
      </w:r>
      <w:r w:rsidR="005B1CE5">
        <w:rPr>
          <w:rFonts w:eastAsia="Times New Roman" w:cs="Times New Roman"/>
          <w:color w:val="000000"/>
          <w:szCs w:val="24"/>
          <w:lang w:eastAsia="tr-TR"/>
        </w:rPr>
        <w:t xml:space="preserve">birden çok </w:t>
      </w:r>
      <w:r w:rsidRPr="004414A2">
        <w:rPr>
          <w:rFonts w:eastAsia="Times New Roman" w:cs="Times New Roman"/>
          <w:color w:val="000000"/>
          <w:szCs w:val="24"/>
          <w:lang w:eastAsia="tr-TR"/>
        </w:rPr>
        <w:t>abonelik sözleşm</w:t>
      </w:r>
      <w:r w:rsidR="002B74AE" w:rsidRPr="004414A2">
        <w:rPr>
          <w:rFonts w:eastAsia="Times New Roman" w:cs="Times New Roman"/>
          <w:color w:val="000000"/>
          <w:szCs w:val="24"/>
          <w:lang w:eastAsia="tr-TR"/>
        </w:rPr>
        <w:t>esi</w:t>
      </w:r>
      <w:r w:rsidRPr="004414A2">
        <w:rPr>
          <w:rFonts w:eastAsia="Times New Roman" w:cs="Times New Roman"/>
          <w:color w:val="000000"/>
          <w:szCs w:val="24"/>
          <w:lang w:eastAsia="tr-TR"/>
        </w:rPr>
        <w:t xml:space="preserve"> için tek bir </w:t>
      </w:r>
      <w:r w:rsidR="002B74AE" w:rsidRPr="004414A2">
        <w:rPr>
          <w:rFonts w:eastAsia="Times New Roman" w:cs="Times New Roman"/>
          <w:color w:val="000000"/>
          <w:szCs w:val="24"/>
          <w:lang w:eastAsia="tr-TR"/>
        </w:rPr>
        <w:t xml:space="preserve">ikili </w:t>
      </w:r>
      <w:r w:rsidRPr="004414A2">
        <w:rPr>
          <w:rFonts w:eastAsia="Times New Roman" w:cs="Times New Roman"/>
          <w:color w:val="000000"/>
          <w:szCs w:val="24"/>
          <w:lang w:eastAsia="tr-TR"/>
        </w:rPr>
        <w:t xml:space="preserve">anlaşma kapsamında </w:t>
      </w:r>
      <w:r w:rsidR="002B74AE" w:rsidRPr="004414A2">
        <w:rPr>
          <w:rFonts w:eastAsia="Times New Roman" w:cs="Times New Roman"/>
          <w:color w:val="000000"/>
          <w:szCs w:val="24"/>
          <w:lang w:eastAsia="tr-TR"/>
        </w:rPr>
        <w:t>enerji temin eden tüketicilerin yüksek tüketimli tüketici olma durumu</w:t>
      </w:r>
      <w:r w:rsidR="002B74AE">
        <w:rPr>
          <w:rFonts w:eastAsia="Times New Roman" w:cs="Times New Roman"/>
          <w:color w:val="000000"/>
          <w:szCs w:val="24"/>
          <w:lang w:eastAsia="tr-TR"/>
        </w:rPr>
        <w:t>nun tespitinde</w:t>
      </w:r>
      <w:r w:rsidR="002B74AE" w:rsidRPr="004414A2">
        <w:rPr>
          <w:rFonts w:eastAsia="Times New Roman" w:cs="Times New Roman"/>
          <w:color w:val="000000"/>
          <w:szCs w:val="24"/>
          <w:lang w:eastAsia="tr-TR"/>
        </w:rPr>
        <w:t xml:space="preserve"> her bir kullanım yeri ve </w:t>
      </w:r>
      <w:r w:rsidR="002B74AE">
        <w:rPr>
          <w:rFonts w:eastAsia="Times New Roman" w:cs="Times New Roman"/>
          <w:color w:val="000000"/>
          <w:szCs w:val="24"/>
          <w:lang w:eastAsia="tr-TR"/>
        </w:rPr>
        <w:t xml:space="preserve">bu </w:t>
      </w:r>
      <w:r w:rsidR="002B74AE" w:rsidRPr="004414A2">
        <w:rPr>
          <w:rFonts w:eastAsia="Times New Roman" w:cs="Times New Roman"/>
          <w:color w:val="000000"/>
          <w:szCs w:val="24"/>
          <w:lang w:eastAsia="tr-TR"/>
        </w:rPr>
        <w:t>kullanım yerine ilişkin abonelik sözleşmesi</w:t>
      </w:r>
      <w:r w:rsidR="005B1CE5">
        <w:rPr>
          <w:rFonts w:eastAsia="Times New Roman" w:cs="Times New Roman"/>
          <w:color w:val="000000"/>
          <w:szCs w:val="24"/>
          <w:lang w:eastAsia="tr-TR"/>
        </w:rPr>
        <w:t xml:space="preserve"> kapsamında olan</w:t>
      </w:r>
      <w:r w:rsidR="002B74AE" w:rsidRPr="004414A2">
        <w:rPr>
          <w:rFonts w:eastAsia="Times New Roman" w:cs="Times New Roman"/>
          <w:color w:val="000000"/>
          <w:szCs w:val="24"/>
          <w:lang w:eastAsia="tr-TR"/>
        </w:rPr>
        <w:t xml:space="preserve"> tüketimler ayrı ayrı değerlendirilecektir.</w:t>
      </w:r>
    </w:p>
    <w:p w14:paraId="1111A441" w14:textId="77777777" w:rsidR="002B74AE" w:rsidRPr="004414A2" w:rsidRDefault="002B74AE" w:rsidP="006F70EA">
      <w:pPr>
        <w:ind w:left="567" w:hanging="567"/>
        <w:rPr>
          <w:rFonts w:eastAsia="Times New Roman" w:cs="Times New Roman"/>
          <w:color w:val="000000"/>
          <w:szCs w:val="24"/>
          <w:lang w:eastAsia="tr-TR"/>
        </w:rPr>
      </w:pPr>
    </w:p>
    <w:p w14:paraId="6CD6F9D9" w14:textId="01674278" w:rsidR="00F6149E" w:rsidRDefault="00B70D4D" w:rsidP="00F6149E">
      <w:r w:rsidRPr="001D6DB2">
        <w:rPr>
          <w:rFonts w:eastAsia="Times New Roman" w:cs="Times New Roman"/>
          <w:color w:val="000000"/>
          <w:szCs w:val="24"/>
          <w:lang w:eastAsia="tr-TR"/>
        </w:rPr>
        <w:t xml:space="preserve">Son kaynak tedarik tarifesinin uygulanmasına ilişkin olarak Kurumumuzun internet sitesinde yer alan </w:t>
      </w:r>
      <w:r w:rsidRPr="0078280A">
        <w:rPr>
          <w:rFonts w:eastAsia="Times New Roman" w:cs="Times New Roman"/>
          <w:b/>
          <w:i/>
          <w:szCs w:val="24"/>
          <w:lang w:eastAsia="tr-TR"/>
        </w:rPr>
        <w:t xml:space="preserve">Son Kaynak Tedarik Tarifesinin Uygulanmasına İlişkin 1 </w:t>
      </w:r>
      <w:proofErr w:type="spellStart"/>
      <w:r w:rsidRPr="0078280A">
        <w:rPr>
          <w:rFonts w:eastAsia="Times New Roman" w:cs="Times New Roman"/>
          <w:b/>
          <w:i/>
          <w:szCs w:val="24"/>
          <w:lang w:eastAsia="tr-TR"/>
        </w:rPr>
        <w:t>Nolu</w:t>
      </w:r>
      <w:proofErr w:type="spellEnd"/>
      <w:r w:rsidRPr="0078280A">
        <w:rPr>
          <w:rFonts w:eastAsia="Times New Roman" w:cs="Times New Roman"/>
          <w:b/>
          <w:i/>
          <w:szCs w:val="24"/>
          <w:lang w:eastAsia="tr-TR"/>
        </w:rPr>
        <w:t xml:space="preserve"> Açıklama</w:t>
      </w:r>
      <w:r w:rsidRPr="001D6DB2">
        <w:rPr>
          <w:rFonts w:eastAsia="Times New Roman" w:cs="Times New Roman"/>
          <w:color w:val="000000"/>
          <w:szCs w:val="24"/>
          <w:lang w:eastAsia="tr-TR"/>
        </w:rPr>
        <w:t xml:space="preserve"> geçerliliğini korumaktadır. Bu </w:t>
      </w:r>
      <w:r w:rsidR="00E32916">
        <w:rPr>
          <w:rFonts w:eastAsia="Times New Roman" w:cs="Times New Roman"/>
          <w:color w:val="000000"/>
          <w:szCs w:val="24"/>
          <w:lang w:eastAsia="tr-TR"/>
        </w:rPr>
        <w:t>dokümanda</w:t>
      </w:r>
      <w:r w:rsidRPr="001D6DB2">
        <w:rPr>
          <w:rFonts w:eastAsia="Times New Roman" w:cs="Times New Roman"/>
          <w:color w:val="000000"/>
          <w:szCs w:val="24"/>
          <w:lang w:eastAsia="tr-TR"/>
        </w:rPr>
        <w:t xml:space="preserve"> belirtilmeyen hususlarda söz konusu açıklama geçerlidir.</w:t>
      </w:r>
      <w:r w:rsidR="00F6149E">
        <w:rPr>
          <w:rFonts w:eastAsia="Times New Roman" w:cs="Times New Roman"/>
          <w:color w:val="000000"/>
          <w:szCs w:val="24"/>
          <w:lang w:eastAsia="tr-TR"/>
        </w:rPr>
        <w:t xml:space="preserve"> </w:t>
      </w:r>
      <w:r w:rsidR="00F6149E">
        <w:t>Bu kapsamda, Tebliğ’in uygulanmasına ilişkin Tebliğ hükümleri yanında bu açıklamaların da dikkate alınması, uygulamada oluşabilecek tereddütler için Kurumumuza başvurulması gerekmektedir.</w:t>
      </w:r>
    </w:p>
    <w:p w14:paraId="0E3BE86E" w14:textId="77777777" w:rsidR="00F6149E" w:rsidRDefault="00F6149E" w:rsidP="00F6149E"/>
    <w:p w14:paraId="2B507B56" w14:textId="77777777" w:rsidR="00F6149E" w:rsidRPr="00EE36A1" w:rsidRDefault="00F6149E" w:rsidP="00F6149E">
      <w:r w:rsidRPr="00B05051">
        <w:t>Kamuoyuna saygıyla duyurulur.</w:t>
      </w:r>
    </w:p>
    <w:p w14:paraId="49984EA2" w14:textId="77777777" w:rsidR="00B70D4D" w:rsidRPr="001D6DB2" w:rsidRDefault="00B70D4D" w:rsidP="001D6DB2">
      <w:pPr>
        <w:rPr>
          <w:rFonts w:eastAsia="Times New Roman" w:cs="Times New Roman"/>
          <w:color w:val="000000"/>
          <w:szCs w:val="24"/>
          <w:lang w:eastAsia="tr-TR"/>
        </w:rPr>
      </w:pPr>
    </w:p>
    <w:p w14:paraId="730D861F" w14:textId="77777777" w:rsidR="00EA611E" w:rsidRPr="00FD3629" w:rsidRDefault="00EA611E" w:rsidP="006F70EA">
      <w:pPr>
        <w:ind w:left="567" w:hanging="567"/>
        <w:rPr>
          <w:rFonts w:eastAsia="Times New Roman" w:cs="Times New Roman"/>
          <w:b/>
          <w:color w:val="000000"/>
          <w:szCs w:val="24"/>
          <w:lang w:eastAsia="tr-TR"/>
        </w:rPr>
      </w:pPr>
    </w:p>
    <w:p w14:paraId="68DF5B54" w14:textId="77777777" w:rsidR="00EA611E" w:rsidRPr="00FD3629" w:rsidRDefault="00EA611E" w:rsidP="006F70EA">
      <w:pPr>
        <w:ind w:left="567" w:hanging="567"/>
        <w:rPr>
          <w:rFonts w:eastAsia="Times New Roman" w:cs="Times New Roman"/>
          <w:color w:val="000000"/>
          <w:szCs w:val="24"/>
          <w:lang w:eastAsia="tr-TR"/>
        </w:rPr>
      </w:pPr>
    </w:p>
    <w:p w14:paraId="5BBFA052" w14:textId="77777777" w:rsidR="00EA611E" w:rsidRPr="00FD3629" w:rsidRDefault="00EA611E" w:rsidP="006F70EA">
      <w:pPr>
        <w:ind w:left="567" w:hanging="567"/>
        <w:rPr>
          <w:rFonts w:eastAsia="Times New Roman" w:cs="Times New Roman"/>
          <w:color w:val="000000"/>
          <w:szCs w:val="24"/>
          <w:lang w:eastAsia="tr-TR"/>
        </w:rPr>
      </w:pPr>
    </w:p>
    <w:p w14:paraId="61765ED3" w14:textId="77777777" w:rsidR="00EA611E" w:rsidRPr="00FD3629" w:rsidRDefault="00EA611E" w:rsidP="006F70EA">
      <w:pPr>
        <w:ind w:left="567" w:hanging="567"/>
        <w:rPr>
          <w:rFonts w:eastAsia="Times New Roman" w:cs="Times New Roman"/>
          <w:color w:val="000000"/>
          <w:szCs w:val="24"/>
          <w:lang w:eastAsia="tr-TR"/>
        </w:rPr>
      </w:pPr>
    </w:p>
    <w:p w14:paraId="1520BA38" w14:textId="77777777" w:rsidR="00EA611E" w:rsidRPr="00FD3629" w:rsidRDefault="00EA611E" w:rsidP="006F70EA">
      <w:pPr>
        <w:ind w:left="567" w:hanging="567"/>
        <w:rPr>
          <w:rFonts w:cs="Times New Roman"/>
          <w:b/>
          <w:szCs w:val="24"/>
        </w:rPr>
      </w:pPr>
      <w:bookmarkStart w:id="0" w:name="_GoBack"/>
      <w:bookmarkEnd w:id="0"/>
    </w:p>
    <w:p w14:paraId="2394A999" w14:textId="77777777" w:rsidR="00EA611E" w:rsidRPr="00FD3629" w:rsidRDefault="00EA611E" w:rsidP="006F70EA">
      <w:pPr>
        <w:ind w:left="567" w:hanging="567"/>
        <w:rPr>
          <w:rFonts w:eastAsia="Times New Roman" w:cs="Times New Roman"/>
          <w:color w:val="000000"/>
          <w:szCs w:val="24"/>
          <w:lang w:eastAsia="tr-TR"/>
        </w:rPr>
      </w:pPr>
    </w:p>
    <w:p w14:paraId="193B0F5A" w14:textId="77777777" w:rsidR="00EA611E" w:rsidRPr="00FD3629" w:rsidRDefault="00EA611E" w:rsidP="006F70EA">
      <w:pPr>
        <w:ind w:left="567" w:hanging="567"/>
        <w:rPr>
          <w:rFonts w:cs="Times New Roman"/>
          <w:szCs w:val="24"/>
        </w:rPr>
      </w:pPr>
    </w:p>
    <w:sectPr w:rsidR="00EA611E" w:rsidRPr="00FD362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651176"/>
    <w:multiLevelType w:val="hybridMultilevel"/>
    <w:tmpl w:val="07361E7E"/>
    <w:lvl w:ilvl="0" w:tplc="3F32D30A">
      <w:start w:val="1"/>
      <w:numFmt w:val="decimal"/>
      <w:lvlText w:val="%1)"/>
      <w:lvlJc w:val="left"/>
      <w:pPr>
        <w:ind w:left="720" w:hanging="360"/>
      </w:pPr>
      <w:rPr>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611E"/>
    <w:rsid w:val="0001035A"/>
    <w:rsid w:val="00033962"/>
    <w:rsid w:val="00043944"/>
    <w:rsid w:val="000B62DB"/>
    <w:rsid w:val="000D27B0"/>
    <w:rsid w:val="000D758F"/>
    <w:rsid w:val="00102112"/>
    <w:rsid w:val="00107CA9"/>
    <w:rsid w:val="0019105E"/>
    <w:rsid w:val="001D6DB2"/>
    <w:rsid w:val="00221224"/>
    <w:rsid w:val="00255C29"/>
    <w:rsid w:val="00277002"/>
    <w:rsid w:val="002A5515"/>
    <w:rsid w:val="002A6398"/>
    <w:rsid w:val="002B74AE"/>
    <w:rsid w:val="002D436E"/>
    <w:rsid w:val="003313D4"/>
    <w:rsid w:val="0034135D"/>
    <w:rsid w:val="00357BDC"/>
    <w:rsid w:val="00381468"/>
    <w:rsid w:val="003C46CA"/>
    <w:rsid w:val="003E2BCC"/>
    <w:rsid w:val="00406EE7"/>
    <w:rsid w:val="00420B82"/>
    <w:rsid w:val="004414A2"/>
    <w:rsid w:val="00562294"/>
    <w:rsid w:val="0058732E"/>
    <w:rsid w:val="005A612F"/>
    <w:rsid w:val="005A6D4F"/>
    <w:rsid w:val="005A6D8E"/>
    <w:rsid w:val="005B1CE5"/>
    <w:rsid w:val="005C4B90"/>
    <w:rsid w:val="005D3A78"/>
    <w:rsid w:val="006A3221"/>
    <w:rsid w:val="006F70EA"/>
    <w:rsid w:val="007003C3"/>
    <w:rsid w:val="007117EF"/>
    <w:rsid w:val="00714F82"/>
    <w:rsid w:val="007617D1"/>
    <w:rsid w:val="00763B56"/>
    <w:rsid w:val="0078280A"/>
    <w:rsid w:val="007A648B"/>
    <w:rsid w:val="00820D15"/>
    <w:rsid w:val="00853C83"/>
    <w:rsid w:val="008C3BAC"/>
    <w:rsid w:val="008D02F2"/>
    <w:rsid w:val="0091376F"/>
    <w:rsid w:val="009F4146"/>
    <w:rsid w:val="009F5EE1"/>
    <w:rsid w:val="00A06FE0"/>
    <w:rsid w:val="00A070AE"/>
    <w:rsid w:val="00A26CCF"/>
    <w:rsid w:val="00A805FC"/>
    <w:rsid w:val="00AB0725"/>
    <w:rsid w:val="00AC077C"/>
    <w:rsid w:val="00AC518E"/>
    <w:rsid w:val="00B147A6"/>
    <w:rsid w:val="00B246EF"/>
    <w:rsid w:val="00B70D4D"/>
    <w:rsid w:val="00B722A3"/>
    <w:rsid w:val="00B76E93"/>
    <w:rsid w:val="00BE06E1"/>
    <w:rsid w:val="00BF3CC0"/>
    <w:rsid w:val="00C023F5"/>
    <w:rsid w:val="00C06203"/>
    <w:rsid w:val="00C37181"/>
    <w:rsid w:val="00C516EF"/>
    <w:rsid w:val="00C5277E"/>
    <w:rsid w:val="00C52B59"/>
    <w:rsid w:val="00C67CDB"/>
    <w:rsid w:val="00CA27E8"/>
    <w:rsid w:val="00CD70ED"/>
    <w:rsid w:val="00D0486E"/>
    <w:rsid w:val="00D4411C"/>
    <w:rsid w:val="00D60A0E"/>
    <w:rsid w:val="00D60D0B"/>
    <w:rsid w:val="00D772D8"/>
    <w:rsid w:val="00D93470"/>
    <w:rsid w:val="00D971E0"/>
    <w:rsid w:val="00DB077D"/>
    <w:rsid w:val="00DD262C"/>
    <w:rsid w:val="00E32916"/>
    <w:rsid w:val="00E84B9C"/>
    <w:rsid w:val="00E85E34"/>
    <w:rsid w:val="00E92CD2"/>
    <w:rsid w:val="00EA611E"/>
    <w:rsid w:val="00ED7332"/>
    <w:rsid w:val="00F12F64"/>
    <w:rsid w:val="00F15E91"/>
    <w:rsid w:val="00F6149E"/>
    <w:rsid w:val="00F66338"/>
    <w:rsid w:val="00FD3629"/>
    <w:rsid w:val="00FD3A1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5918D"/>
  <w15:docId w15:val="{FE950DAA-0ABA-403D-840A-59A0C1DE2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277E"/>
    <w:pPr>
      <w:spacing w:after="0" w:line="240" w:lineRule="auto"/>
      <w:jc w:val="both"/>
    </w:pPr>
    <w:rPr>
      <w:rFonts w:ascii="Times New Roman" w:hAnsi="Times New Roman"/>
      <w:sz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EA611E"/>
    <w:pPr>
      <w:ind w:left="720"/>
      <w:contextualSpacing/>
    </w:pPr>
  </w:style>
  <w:style w:type="paragraph" w:styleId="BalonMetni">
    <w:name w:val="Balloon Text"/>
    <w:basedOn w:val="Normal"/>
    <w:link w:val="BalonMetniChar"/>
    <w:uiPriority w:val="99"/>
    <w:semiHidden/>
    <w:unhideWhenUsed/>
    <w:rsid w:val="007617D1"/>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7617D1"/>
    <w:rPr>
      <w:rFonts w:ascii="Segoe UI" w:hAnsi="Segoe UI" w:cs="Segoe UI"/>
      <w:sz w:val="18"/>
      <w:szCs w:val="18"/>
    </w:rPr>
  </w:style>
  <w:style w:type="character" w:styleId="Kpr">
    <w:name w:val="Hyperlink"/>
    <w:basedOn w:val="VarsaylanParagrafYazTipi"/>
    <w:uiPriority w:val="99"/>
    <w:unhideWhenUsed/>
    <w:rsid w:val="00F12F64"/>
    <w:rPr>
      <w:color w:val="0000FF" w:themeColor="hyperlink"/>
      <w:u w:val="single"/>
    </w:rPr>
  </w:style>
  <w:style w:type="character" w:customStyle="1" w:styleId="UnresolvedMention">
    <w:name w:val="Unresolved Mention"/>
    <w:basedOn w:val="VarsaylanParagrafYazTipi"/>
    <w:uiPriority w:val="99"/>
    <w:semiHidden/>
    <w:unhideWhenUsed/>
    <w:rsid w:val="00F12F64"/>
    <w:rPr>
      <w:color w:val="808080"/>
      <w:shd w:val="clear" w:color="auto" w:fill="E6E6E6"/>
    </w:rPr>
  </w:style>
  <w:style w:type="character" w:styleId="zlenenKpr">
    <w:name w:val="FollowedHyperlink"/>
    <w:basedOn w:val="VarsaylanParagrafYazTipi"/>
    <w:uiPriority w:val="99"/>
    <w:semiHidden/>
    <w:unhideWhenUsed/>
    <w:rsid w:val="00F12F64"/>
    <w:rPr>
      <w:color w:val="800080" w:themeColor="followedHyperlink"/>
      <w:u w:val="single"/>
    </w:rPr>
  </w:style>
  <w:style w:type="character" w:styleId="AklamaBavurusu">
    <w:name w:val="annotation reference"/>
    <w:basedOn w:val="VarsaylanParagrafYazTipi"/>
    <w:uiPriority w:val="99"/>
    <w:semiHidden/>
    <w:unhideWhenUsed/>
    <w:rsid w:val="00714F82"/>
    <w:rPr>
      <w:sz w:val="16"/>
      <w:szCs w:val="16"/>
    </w:rPr>
  </w:style>
  <w:style w:type="paragraph" w:styleId="AklamaMetni">
    <w:name w:val="annotation text"/>
    <w:basedOn w:val="Normal"/>
    <w:link w:val="AklamaMetniChar"/>
    <w:uiPriority w:val="99"/>
    <w:semiHidden/>
    <w:unhideWhenUsed/>
    <w:rsid w:val="00714F82"/>
    <w:rPr>
      <w:sz w:val="20"/>
      <w:szCs w:val="20"/>
    </w:rPr>
  </w:style>
  <w:style w:type="character" w:customStyle="1" w:styleId="AklamaMetniChar">
    <w:name w:val="Açıklama Metni Char"/>
    <w:basedOn w:val="VarsaylanParagrafYazTipi"/>
    <w:link w:val="AklamaMetni"/>
    <w:uiPriority w:val="99"/>
    <w:semiHidden/>
    <w:rsid w:val="00714F82"/>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714F82"/>
    <w:rPr>
      <w:b/>
      <w:bCs/>
    </w:rPr>
  </w:style>
  <w:style w:type="character" w:customStyle="1" w:styleId="AklamaKonusuChar">
    <w:name w:val="Açıklama Konusu Char"/>
    <w:basedOn w:val="AklamaMetniChar"/>
    <w:link w:val="AklamaKonusu"/>
    <w:uiPriority w:val="99"/>
    <w:semiHidden/>
    <w:rsid w:val="00714F82"/>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906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1923</Words>
  <Characters>10963</Characters>
  <Application>Microsoft Office Word</Application>
  <DocSecurity>0</DocSecurity>
  <Lines>91</Lines>
  <Paragraphs>25</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12861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Derya KARAMAN</dc:creator>
  <cp:lastModifiedBy>Derya KARAMAN</cp:lastModifiedBy>
  <cp:revision>2</cp:revision>
  <dcterms:created xsi:type="dcterms:W3CDTF">2020-11-13T10:25:00Z</dcterms:created>
  <dcterms:modified xsi:type="dcterms:W3CDTF">2020-11-13T10:25:00Z</dcterms:modified>
</cp:coreProperties>
</file>