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bookmarkStart w:id="0" w:name="_GoBack"/>
      <w:bookmarkEnd w:id="0"/>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D37B4F"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Karar No :</w:t>
      </w:r>
      <w:r w:rsidR="004C0E8C">
        <w:rPr>
          <w:rFonts w:ascii="Times New Roman" w:eastAsia="Calibri" w:hAnsi="Times New Roman" w:cs="Times New Roman"/>
          <w:b/>
          <w:noProof w:val="0"/>
          <w:sz w:val="24"/>
          <w:szCs w:val="24"/>
          <w:lang w:eastAsia="en-US"/>
        </w:rPr>
        <w:t xml:space="preserve"> </w:t>
      </w:r>
      <w:r w:rsidR="004C0E8C" w:rsidRPr="001B6253">
        <w:rPr>
          <w:rFonts w:ascii="Times New Roman" w:eastAsia="Calibri" w:hAnsi="Times New Roman" w:cs="Times New Roman"/>
          <w:noProof w:val="0"/>
          <w:sz w:val="24"/>
          <w:szCs w:val="24"/>
          <w:lang w:eastAsia="en-US"/>
        </w:rPr>
        <w:t>9397</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 </w:t>
      </w:r>
      <w:r w:rsidR="00D6351F">
        <w:rPr>
          <w:rFonts w:ascii="Times New Roman" w:eastAsia="Calibri" w:hAnsi="Times New Roman" w:cs="Times New Roman"/>
          <w:noProof w:val="0"/>
          <w:sz w:val="24"/>
          <w:szCs w:val="24"/>
          <w:lang w:eastAsia="en-US"/>
        </w:rPr>
        <w:t>18</w:t>
      </w:r>
      <w:r>
        <w:rPr>
          <w:rFonts w:ascii="Times New Roman" w:eastAsia="Calibri" w:hAnsi="Times New Roman" w:cs="Times New Roman"/>
          <w:noProof w:val="0"/>
          <w:sz w:val="24"/>
          <w:szCs w:val="24"/>
          <w:lang w:eastAsia="en-US"/>
        </w:rPr>
        <w:t>/06</w:t>
      </w:r>
      <w:r w:rsidR="00D6351F">
        <w:rPr>
          <w:rFonts w:ascii="Times New Roman" w:eastAsia="Calibri" w:hAnsi="Times New Roman" w:cs="Times New Roman"/>
          <w:noProof w:val="0"/>
          <w:sz w:val="24"/>
          <w:szCs w:val="24"/>
          <w:lang w:eastAsia="en-US"/>
        </w:rPr>
        <w:t>/2020</w:t>
      </w: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b/>
          <w:noProof w:val="0"/>
          <w:sz w:val="24"/>
          <w:szCs w:val="24"/>
          <w:lang w:eastAsia="en-US"/>
        </w:rPr>
      </w:pPr>
    </w:p>
    <w:p w:rsidR="00F844A1" w:rsidRDefault="000D23FB" w:rsidP="00E0502F">
      <w:pPr>
        <w:spacing w:after="0" w:line="240" w:lineRule="auto"/>
        <w:ind w:firstLine="567"/>
        <w:jc w:val="both"/>
        <w:rPr>
          <w:rFonts w:ascii="Times New Roman" w:eastAsia="Times New Roman" w:hAnsi="Times New Roman" w:cs="Times New Roman"/>
          <w:noProof w:val="0"/>
          <w:sz w:val="28"/>
          <w:szCs w:val="24"/>
          <w:lang w:eastAsia="tr-TR"/>
        </w:rPr>
      </w:pPr>
      <w:r w:rsidRPr="000D23FB">
        <w:rPr>
          <w:rFonts w:ascii="Times New Roman" w:eastAsia="Calibri" w:hAnsi="Times New Roman" w:cs="Times New Roman"/>
          <w:noProof w:val="0"/>
          <w:sz w:val="24"/>
          <w:szCs w:val="24"/>
          <w:lang w:eastAsia="en-US"/>
        </w:rPr>
        <w:t xml:space="preserve">Enerji Piyasası Düzenleme Kurulunun </w:t>
      </w:r>
      <w:r w:rsidR="00D6351F">
        <w:rPr>
          <w:rFonts w:ascii="Times New Roman" w:eastAsia="Calibri" w:hAnsi="Times New Roman" w:cs="Times New Roman"/>
          <w:noProof w:val="0"/>
          <w:sz w:val="24"/>
          <w:szCs w:val="24"/>
          <w:lang w:eastAsia="en-US"/>
        </w:rPr>
        <w:t>18</w:t>
      </w:r>
      <w:r w:rsidRPr="000D23FB">
        <w:rPr>
          <w:rFonts w:ascii="Times New Roman" w:eastAsia="Calibri" w:hAnsi="Times New Roman" w:cs="Times New Roman"/>
          <w:noProof w:val="0"/>
          <w:sz w:val="24"/>
          <w:szCs w:val="24"/>
          <w:lang w:eastAsia="en-US"/>
        </w:rPr>
        <w:t>/</w:t>
      </w:r>
      <w:r>
        <w:rPr>
          <w:rFonts w:ascii="Times New Roman" w:eastAsia="Calibri" w:hAnsi="Times New Roman" w:cs="Times New Roman"/>
          <w:noProof w:val="0"/>
          <w:sz w:val="24"/>
          <w:szCs w:val="24"/>
          <w:lang w:eastAsia="en-US"/>
        </w:rPr>
        <w:t>06</w:t>
      </w:r>
      <w:r w:rsidR="00E91D22">
        <w:rPr>
          <w:rFonts w:ascii="Times New Roman" w:eastAsia="Calibri" w:hAnsi="Times New Roman" w:cs="Times New Roman"/>
          <w:noProof w:val="0"/>
          <w:sz w:val="24"/>
          <w:szCs w:val="24"/>
          <w:lang w:eastAsia="en-US"/>
        </w:rPr>
        <w:t>/2020</w:t>
      </w:r>
      <w:r w:rsidRPr="000D23FB">
        <w:rPr>
          <w:rFonts w:ascii="Times New Roman" w:eastAsia="Calibri" w:hAnsi="Times New Roman" w:cs="Times New Roman"/>
          <w:noProof w:val="0"/>
          <w:sz w:val="24"/>
          <w:szCs w:val="24"/>
          <w:lang w:eastAsia="en-US"/>
        </w:rPr>
        <w:t xml:space="preserve"> tarihli toplantısında;</w:t>
      </w:r>
      <w:r w:rsidR="00E0502F">
        <w:rPr>
          <w:rFonts w:ascii="Times New Roman" w:eastAsia="Times New Roman" w:hAnsi="Times New Roman" w:cs="Times New Roman"/>
          <w:noProof w:val="0"/>
          <w:sz w:val="28"/>
          <w:szCs w:val="24"/>
          <w:lang w:eastAsia="tr-TR"/>
        </w:rPr>
        <w:t xml:space="preserve"> </w:t>
      </w:r>
    </w:p>
    <w:p w:rsidR="00591463" w:rsidRPr="00591463" w:rsidRDefault="00591463" w:rsidP="00E0502F">
      <w:pPr>
        <w:spacing w:after="0" w:line="240" w:lineRule="auto"/>
        <w:ind w:firstLine="567"/>
        <w:jc w:val="both"/>
        <w:rPr>
          <w:rFonts w:ascii="Times New Roman" w:eastAsia="Times New Roman" w:hAnsi="Times New Roman" w:cs="Times New Roman"/>
          <w:noProof w:val="0"/>
          <w:sz w:val="20"/>
          <w:szCs w:val="20"/>
          <w:lang w:eastAsia="tr-TR"/>
        </w:rPr>
      </w:pPr>
    </w:p>
    <w:p w:rsidR="004C0E8C" w:rsidRPr="004C0E8C" w:rsidRDefault="004C0E8C" w:rsidP="004C0E8C">
      <w:pPr>
        <w:tabs>
          <w:tab w:val="left" w:pos="709"/>
        </w:tabs>
        <w:spacing w:after="0" w:line="240" w:lineRule="auto"/>
        <w:ind w:firstLine="567"/>
        <w:contextualSpacing/>
        <w:jc w:val="both"/>
        <w:rPr>
          <w:rFonts w:ascii="Times New Roman" w:eastAsia="Times New Roman" w:hAnsi="Times New Roman" w:cs="Times New Roman"/>
          <w:noProof w:val="0"/>
          <w:spacing w:val="-2"/>
          <w:sz w:val="24"/>
          <w:szCs w:val="24"/>
          <w:lang w:eastAsia="tr-TR"/>
        </w:rPr>
      </w:pPr>
      <w:r w:rsidRPr="004C0E8C">
        <w:rPr>
          <w:rFonts w:ascii="Times New Roman" w:eastAsia="Times New Roman" w:hAnsi="Times New Roman" w:cs="Times New Roman"/>
          <w:b/>
          <w:noProof w:val="0"/>
          <w:sz w:val="24"/>
          <w:szCs w:val="24"/>
          <w:lang w:eastAsia="tr-TR"/>
        </w:rPr>
        <w:t>1)</w:t>
      </w:r>
      <w:r w:rsidRPr="004C0E8C">
        <w:rPr>
          <w:rFonts w:ascii="Times New Roman" w:eastAsia="Times New Roman" w:hAnsi="Times New Roman" w:cs="Times New Roman"/>
          <w:noProof w:val="0"/>
          <w:sz w:val="24"/>
          <w:szCs w:val="24"/>
          <w:lang w:eastAsia="tr-TR"/>
        </w:rPr>
        <w:t xml:space="preserve"> Elektrik piyasasında üretim faaliyeti için yapılan önlisans ve üretim lisansı başvurularında sağlanması gereken sermaye yükümlülüğünün hesaplanması ile Kuruma sunulacak teminat tutarlarının belirlenmesinde kaynak bazındaki toplam birim yatırım tutarları olarak aşağıdaki tutarların esas alınmasına,</w:t>
      </w:r>
      <w:r w:rsidRPr="004C0E8C">
        <w:rPr>
          <w:rFonts w:ascii="Times New Roman" w:eastAsia="Times New Roman" w:hAnsi="Times New Roman" w:cs="Times New Roman"/>
          <w:noProof w:val="0"/>
          <w:sz w:val="24"/>
          <w:szCs w:val="24"/>
          <w:lang w:eastAsia="tr-TR"/>
        </w:rPr>
        <w:tab/>
      </w:r>
    </w:p>
    <w:p w:rsidR="004C0E8C" w:rsidRDefault="004C0E8C" w:rsidP="004C0E8C">
      <w:pPr>
        <w:spacing w:after="0" w:line="240" w:lineRule="auto"/>
        <w:jc w:val="center"/>
        <w:outlineLvl w:val="1"/>
        <w:rPr>
          <w:rFonts w:ascii="Times New Roman" w:eastAsia="Times New Roman" w:hAnsi="Times New Roman" w:cs="Times New Roman"/>
          <w:b/>
          <w:bCs/>
          <w:noProof w:val="0"/>
          <w:sz w:val="24"/>
          <w:szCs w:val="24"/>
          <w:lang w:eastAsia="tr-TR"/>
        </w:rPr>
      </w:pPr>
    </w:p>
    <w:p w:rsidR="004C0E8C" w:rsidRPr="004C0E8C" w:rsidRDefault="004C0E8C" w:rsidP="004C0E8C">
      <w:pPr>
        <w:spacing w:after="0" w:line="240" w:lineRule="auto"/>
        <w:jc w:val="center"/>
        <w:outlineLvl w:val="1"/>
        <w:rPr>
          <w:rFonts w:ascii="Times New Roman" w:eastAsia="Times New Roman" w:hAnsi="Times New Roman" w:cs="Times New Roman"/>
          <w:b/>
          <w:bCs/>
          <w:noProof w:val="0"/>
          <w:sz w:val="24"/>
          <w:szCs w:val="24"/>
          <w:lang w:eastAsia="tr-TR"/>
        </w:rPr>
      </w:pPr>
    </w:p>
    <w:p w:rsidR="004C0E8C" w:rsidRPr="004C0E8C" w:rsidRDefault="004C0E8C" w:rsidP="004C0E8C">
      <w:pPr>
        <w:spacing w:after="0" w:line="240" w:lineRule="auto"/>
        <w:jc w:val="center"/>
        <w:outlineLvl w:val="1"/>
        <w:rPr>
          <w:rFonts w:ascii="Times New Roman" w:eastAsia="Times New Roman" w:hAnsi="Times New Roman" w:cs="Times New Roman"/>
          <w:b/>
          <w:bCs/>
          <w:noProof w:val="0"/>
          <w:sz w:val="24"/>
          <w:szCs w:val="24"/>
          <w:lang w:eastAsia="tr-TR"/>
        </w:rPr>
      </w:pPr>
      <w:r w:rsidRPr="004C0E8C">
        <w:rPr>
          <w:rFonts w:ascii="Times New Roman" w:eastAsia="Times New Roman" w:hAnsi="Times New Roman" w:cs="Times New Roman"/>
          <w:b/>
          <w:bCs/>
          <w:noProof w:val="0"/>
          <w:sz w:val="24"/>
          <w:szCs w:val="24"/>
          <w:lang w:eastAsia="tr-TR"/>
        </w:rPr>
        <w:t>Elektrik Piyasasında Kaynak Bazındaki Toplam Birim Yatırım Tutarları</w:t>
      </w:r>
    </w:p>
    <w:p w:rsidR="004C0E8C" w:rsidRPr="004C0E8C" w:rsidRDefault="004C0E8C" w:rsidP="004C0E8C">
      <w:pPr>
        <w:spacing w:after="0" w:line="240" w:lineRule="auto"/>
        <w:jc w:val="center"/>
        <w:outlineLvl w:val="1"/>
        <w:rPr>
          <w:rFonts w:ascii="Times New Roman" w:eastAsia="Times New Roman" w:hAnsi="Times New Roman" w:cs="Times New Roman"/>
          <w:b/>
          <w:bCs/>
          <w:noProof w:val="0"/>
          <w:sz w:val="24"/>
          <w:szCs w:val="24"/>
          <w:lang w:eastAsia="tr-TR"/>
        </w:rPr>
      </w:pPr>
    </w:p>
    <w:tbl>
      <w:tblPr>
        <w:tblW w:w="8789" w:type="dxa"/>
        <w:tblInd w:w="42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2"/>
        <w:gridCol w:w="6297"/>
      </w:tblGrid>
      <w:tr w:rsidR="004C0E8C" w:rsidRPr="004C0E8C" w:rsidTr="003541D9">
        <w:tc>
          <w:tcPr>
            <w:tcW w:w="0" w:type="auto"/>
            <w:tcBorders>
              <w:top w:val="single" w:sz="4" w:space="0" w:color="auto"/>
              <w:left w:val="single" w:sz="4" w:space="0" w:color="auto"/>
              <w:bottom w:val="single" w:sz="4" w:space="0" w:color="auto"/>
              <w:right w:val="single" w:sz="4"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 </w:t>
            </w:r>
            <w:r w:rsidRPr="004C0E8C">
              <w:rPr>
                <w:rFonts w:ascii="Times New Roman" w:eastAsia="Times New Roman" w:hAnsi="Times New Roman" w:cs="Times New Roman"/>
                <w:b/>
                <w:bCs/>
                <w:noProof w:val="0"/>
                <w:sz w:val="24"/>
                <w:szCs w:val="24"/>
                <w:lang w:eastAsia="tr-TR"/>
              </w:rPr>
              <w:t>Kaynak Türü</w:t>
            </w:r>
          </w:p>
        </w:tc>
        <w:tc>
          <w:tcPr>
            <w:tcW w:w="6297" w:type="dxa"/>
            <w:tcBorders>
              <w:top w:val="single" w:sz="4" w:space="0" w:color="auto"/>
              <w:left w:val="single" w:sz="4" w:space="0" w:color="auto"/>
              <w:bottom w:val="single" w:sz="4" w:space="0" w:color="auto"/>
              <w:right w:val="single" w:sz="4"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bCs/>
                <w:noProof w:val="0"/>
                <w:sz w:val="24"/>
                <w:szCs w:val="24"/>
                <w:lang w:eastAsia="tr-TR"/>
              </w:rPr>
              <w:t>Toplam Birim Yatırım Tutarı (TL/MW</w:t>
            </w:r>
            <w:r w:rsidRPr="004C0E8C">
              <w:rPr>
                <w:rFonts w:ascii="Times New Roman" w:eastAsia="Times New Roman" w:hAnsi="Times New Roman" w:cs="Times New Roman"/>
                <w:b/>
                <w:bCs/>
                <w:noProof w:val="0"/>
                <w:sz w:val="24"/>
                <w:szCs w:val="24"/>
                <w:vertAlign w:val="subscript"/>
                <w:lang w:eastAsia="tr-TR"/>
              </w:rPr>
              <w:t>m</w:t>
            </w:r>
            <w:r w:rsidRPr="004C0E8C">
              <w:rPr>
                <w:rFonts w:ascii="Times New Roman" w:eastAsia="Times New Roman" w:hAnsi="Times New Roman" w:cs="Times New Roman"/>
                <w:b/>
                <w:bCs/>
                <w:noProof w:val="0"/>
                <w:sz w:val="24"/>
                <w:szCs w:val="24"/>
                <w:lang w:eastAsia="tr-TR"/>
              </w:rPr>
              <w:t>)</w:t>
            </w:r>
          </w:p>
        </w:tc>
      </w:tr>
      <w:tr w:rsidR="004C0E8C" w:rsidRPr="004C0E8C" w:rsidTr="003541D9">
        <w:tc>
          <w:tcPr>
            <w:tcW w:w="0" w:type="auto"/>
            <w:tcBorders>
              <w:top w:val="single" w:sz="4" w:space="0" w:color="auto"/>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Kömür</w:t>
            </w:r>
          </w:p>
        </w:tc>
        <w:tc>
          <w:tcPr>
            <w:tcW w:w="6297" w:type="dxa"/>
            <w:tcBorders>
              <w:top w:val="single" w:sz="4" w:space="0" w:color="auto"/>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1.500.000</w:t>
            </w:r>
          </w:p>
        </w:tc>
      </w:tr>
      <w:tr w:rsidR="004C0E8C" w:rsidRPr="004C0E8C" w:rsidTr="003541D9">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Doğalgaz / LPG</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1.000.000</w:t>
            </w:r>
          </w:p>
        </w:tc>
      </w:tr>
      <w:tr w:rsidR="004C0E8C" w:rsidRPr="004C0E8C" w:rsidTr="003541D9">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Fuel Oil / Nafta</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1.000.000</w:t>
            </w:r>
          </w:p>
        </w:tc>
      </w:tr>
      <w:tr w:rsidR="004C0E8C" w:rsidRPr="004C0E8C" w:rsidTr="003541D9">
        <w:trPr>
          <w:trHeight w:val="247"/>
        </w:trPr>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Hidrolik</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2.000.000</w:t>
            </w:r>
          </w:p>
        </w:tc>
      </w:tr>
      <w:tr w:rsidR="004C0E8C" w:rsidRPr="004C0E8C" w:rsidTr="003541D9">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Rüzgar</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2.500.000</w:t>
            </w:r>
          </w:p>
        </w:tc>
      </w:tr>
      <w:tr w:rsidR="004C0E8C" w:rsidRPr="004C0E8C" w:rsidTr="003541D9">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Jeotermal</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2.100.000</w:t>
            </w:r>
          </w:p>
        </w:tc>
      </w:tr>
      <w:tr w:rsidR="004C0E8C" w:rsidRPr="004C0E8C" w:rsidTr="003541D9">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Biyokütle</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1.900.000</w:t>
            </w:r>
          </w:p>
        </w:tc>
      </w:tr>
      <w:tr w:rsidR="004C0E8C" w:rsidRPr="004C0E8C" w:rsidTr="003541D9">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Güneş</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3.000.000</w:t>
            </w:r>
          </w:p>
        </w:tc>
      </w:tr>
      <w:tr w:rsidR="004C0E8C" w:rsidRPr="004C0E8C" w:rsidTr="003541D9">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Nükleer</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6.000.000</w:t>
            </w:r>
          </w:p>
        </w:tc>
      </w:tr>
      <w:tr w:rsidR="004C0E8C" w:rsidRPr="004C0E8C" w:rsidTr="003541D9">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 xml:space="preserve">Proses atık ısısı </w:t>
            </w:r>
            <w:r w:rsidRPr="004C0E8C">
              <w:rPr>
                <w:rFonts w:ascii="Times New Roman" w:eastAsia="Times New Roman" w:hAnsi="Times New Roman" w:cs="Times New Roman"/>
                <w:noProof w:val="0"/>
                <w:sz w:val="24"/>
                <w:szCs w:val="24"/>
                <w:vertAlign w:val="superscript"/>
                <w:lang w:eastAsia="tr-TR"/>
              </w:rPr>
              <w:t>(*)</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   700.000</w:t>
            </w:r>
          </w:p>
        </w:tc>
      </w:tr>
      <w:tr w:rsidR="004C0E8C" w:rsidRPr="004C0E8C" w:rsidTr="003541D9">
        <w:tc>
          <w:tcPr>
            <w:tcW w:w="0" w:type="auto"/>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Diğerleri</w:t>
            </w:r>
          </w:p>
        </w:tc>
        <w:tc>
          <w:tcPr>
            <w:tcW w:w="6297"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1.400.000</w:t>
            </w:r>
          </w:p>
        </w:tc>
      </w:tr>
    </w:tbl>
    <w:p w:rsidR="004C0E8C" w:rsidRPr="004C0E8C" w:rsidRDefault="004C0E8C" w:rsidP="004C0E8C">
      <w:pPr>
        <w:tabs>
          <w:tab w:val="left" w:pos="1134"/>
        </w:tabs>
        <w:spacing w:after="0" w:line="240" w:lineRule="auto"/>
        <w:ind w:left="720"/>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 Elektrik üretiminde ana kaynağın/yakıtın proses atık ısısı olduğu üretim tesisleri için geçerlidir.</w:t>
      </w:r>
    </w:p>
    <w:p w:rsidR="004C0E8C" w:rsidRPr="004C0E8C" w:rsidRDefault="004C0E8C" w:rsidP="004C0E8C">
      <w:pPr>
        <w:tabs>
          <w:tab w:val="left" w:pos="1134"/>
        </w:tabs>
        <w:spacing w:after="0" w:line="240" w:lineRule="auto"/>
        <w:contextualSpacing/>
        <w:jc w:val="both"/>
        <w:rPr>
          <w:rFonts w:ascii="Times New Roman" w:eastAsia="Times New Roman" w:hAnsi="Times New Roman" w:cs="Times New Roman"/>
          <w:noProof w:val="0"/>
          <w:sz w:val="24"/>
          <w:szCs w:val="24"/>
          <w:lang w:eastAsia="tr-TR"/>
        </w:rPr>
      </w:pPr>
    </w:p>
    <w:p w:rsidR="004C0E8C" w:rsidRPr="004C0E8C" w:rsidRDefault="004C0E8C" w:rsidP="004C0E8C">
      <w:pPr>
        <w:spacing w:after="0" w:line="240" w:lineRule="auto"/>
        <w:ind w:left="709"/>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 xml:space="preserve">2) </w:t>
      </w:r>
      <w:r w:rsidRPr="004C0E8C">
        <w:rPr>
          <w:rFonts w:ascii="Times New Roman" w:eastAsia="Times New Roman" w:hAnsi="Times New Roman" w:cs="Times New Roman"/>
          <w:noProof w:val="0"/>
          <w:sz w:val="24"/>
          <w:szCs w:val="24"/>
          <w:lang w:eastAsia="tr-TR"/>
        </w:rPr>
        <w:t>Asgari sermaye tutarının hesaplanmasına ilişkin olarak;</w:t>
      </w:r>
    </w:p>
    <w:p w:rsidR="004C0E8C" w:rsidRPr="004C0E8C" w:rsidRDefault="004C0E8C" w:rsidP="004C0E8C">
      <w:pPr>
        <w:spacing w:after="0" w:line="240" w:lineRule="auto"/>
        <w:ind w:left="709"/>
        <w:contextualSpacing/>
        <w:jc w:val="both"/>
        <w:rPr>
          <w:rFonts w:ascii="Times New Roman" w:eastAsia="Times New Roman" w:hAnsi="Times New Roman" w:cs="Times New Roman"/>
          <w:noProof w:val="0"/>
          <w:sz w:val="24"/>
          <w:szCs w:val="24"/>
          <w:lang w:eastAsia="tr-TR"/>
        </w:rPr>
      </w:pPr>
    </w:p>
    <w:p w:rsidR="004C0E8C" w:rsidRPr="004C0E8C" w:rsidRDefault="004C0E8C" w:rsidP="004C0E8C">
      <w:pPr>
        <w:tabs>
          <w:tab w:val="left" w:pos="709"/>
        </w:tabs>
        <w:spacing w:after="0" w:line="240" w:lineRule="auto"/>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ab/>
      </w:r>
      <w:r w:rsidRPr="004C0E8C">
        <w:rPr>
          <w:rFonts w:ascii="Times New Roman" w:eastAsia="Times New Roman" w:hAnsi="Times New Roman" w:cs="Times New Roman"/>
          <w:b/>
          <w:noProof w:val="0"/>
          <w:sz w:val="24"/>
          <w:szCs w:val="24"/>
          <w:lang w:eastAsia="tr-TR"/>
        </w:rPr>
        <w:t>a)</w:t>
      </w:r>
      <w:r w:rsidRPr="004C0E8C">
        <w:rPr>
          <w:rFonts w:ascii="Times New Roman" w:eastAsia="Times New Roman" w:hAnsi="Times New Roman" w:cs="Times New Roman"/>
          <w:noProof w:val="0"/>
          <w:sz w:val="24"/>
          <w:szCs w:val="24"/>
          <w:lang w:eastAsia="tr-TR"/>
        </w:rPr>
        <w:t xml:space="preserve"> Elektrik Piyasası Lisans Yönetmeliği (Yönetmelik)’nin 12 nci maddesinin beşinci fıkrası çerçevesinde önlisans başvurusunda bulunacak tüzel kişilerin asgari sermayesinin, üretim tesisi için MWm cinsinden kurulu gücün (virgülden sonraki üç basamak dâhil) öngörülen toplam yatırım tutarının yüzde beşine, nükleer enerjiye veya yerli kömüre dayalı üretim tesisi kurulması için yapılan önlisans başvuruları açısından yüzde birine tekabül etmesi,</w:t>
      </w:r>
    </w:p>
    <w:p w:rsidR="004C0E8C" w:rsidRPr="004C0E8C" w:rsidRDefault="004C0E8C" w:rsidP="004C0E8C">
      <w:pPr>
        <w:tabs>
          <w:tab w:val="left" w:pos="1134"/>
        </w:tabs>
        <w:spacing w:after="0" w:line="240" w:lineRule="auto"/>
        <w:ind w:left="720"/>
        <w:contextualSpacing/>
        <w:jc w:val="both"/>
        <w:rPr>
          <w:rFonts w:ascii="Times New Roman" w:eastAsia="Times New Roman" w:hAnsi="Times New Roman" w:cs="Times New Roman"/>
          <w:noProof w:val="0"/>
          <w:sz w:val="24"/>
          <w:szCs w:val="24"/>
          <w:lang w:eastAsia="tr-TR"/>
        </w:rPr>
      </w:pPr>
    </w:p>
    <w:p w:rsidR="004C0E8C" w:rsidRPr="004C0E8C" w:rsidRDefault="004C0E8C" w:rsidP="004C0E8C">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b)</w:t>
      </w:r>
      <w:r w:rsidRPr="004C0E8C">
        <w:rPr>
          <w:rFonts w:ascii="Times New Roman" w:eastAsia="Times New Roman" w:hAnsi="Times New Roman" w:cs="Times New Roman"/>
          <w:noProof w:val="0"/>
          <w:sz w:val="24"/>
          <w:szCs w:val="24"/>
          <w:lang w:eastAsia="tr-TR"/>
        </w:rPr>
        <w:t xml:space="preserve"> Yönetmeliğin 20 nci maddesinin altıncı fıkrası çerçevesinde üretim lisansı başvurusunda bulunacak tüzel kişilerin asgari sermayesinin, üretim tesisi için MWm cinsinden kurulu gücün öngörülen toplam yatırım tutarının yüzde yirmisine, nükleer enerjiye veya yerli kömüre dayalı veya YEKA kapsamında üretim tesisi kurulması için yapılan üretim lisansı başvuruları açısından yüzde beşine tekabül etmesine,</w:t>
      </w:r>
    </w:p>
    <w:p w:rsidR="004C0E8C" w:rsidRPr="004C0E8C" w:rsidRDefault="004C0E8C" w:rsidP="004C0E8C">
      <w:pPr>
        <w:tabs>
          <w:tab w:val="left" w:pos="1134"/>
        </w:tabs>
        <w:spacing w:after="0" w:line="240" w:lineRule="auto"/>
        <w:contextualSpacing/>
        <w:jc w:val="both"/>
        <w:rPr>
          <w:rFonts w:ascii="Times New Roman" w:eastAsia="Times New Roman" w:hAnsi="Times New Roman" w:cs="Times New Roman"/>
          <w:noProof w:val="0"/>
          <w:sz w:val="24"/>
          <w:szCs w:val="24"/>
          <w:lang w:eastAsia="tr-TR"/>
        </w:rPr>
      </w:pPr>
    </w:p>
    <w:tbl>
      <w:tblPr>
        <w:tblW w:w="8000" w:type="dxa"/>
        <w:tblInd w:w="921" w:type="dxa"/>
        <w:tblCellMar>
          <w:left w:w="70" w:type="dxa"/>
          <w:right w:w="70" w:type="dxa"/>
        </w:tblCellMar>
        <w:tblLook w:val="04A0" w:firstRow="1" w:lastRow="0" w:firstColumn="1" w:lastColumn="0" w:noHBand="0" w:noVBand="1"/>
      </w:tblPr>
      <w:tblGrid>
        <w:gridCol w:w="2660"/>
        <w:gridCol w:w="2100"/>
        <w:gridCol w:w="3240"/>
      </w:tblGrid>
      <w:tr w:rsidR="004C0E8C" w:rsidRPr="004C0E8C" w:rsidTr="00C26E50">
        <w:trPr>
          <w:trHeight w:val="1275"/>
        </w:trPr>
        <w:tc>
          <w:tcPr>
            <w:tcW w:w="2660" w:type="dxa"/>
            <w:tcBorders>
              <w:top w:val="single" w:sz="8" w:space="0" w:color="auto"/>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lastRenderedPageBreak/>
              <w:t>Başvuru Türü</w:t>
            </w:r>
          </w:p>
        </w:tc>
        <w:tc>
          <w:tcPr>
            <w:tcW w:w="2100" w:type="dxa"/>
            <w:tcBorders>
              <w:top w:val="single" w:sz="8" w:space="0" w:color="auto"/>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Öngörülen toplam yatırım tutarına uygulanacak yüzde (%)</w:t>
            </w:r>
          </w:p>
        </w:tc>
        <w:tc>
          <w:tcPr>
            <w:tcW w:w="3240" w:type="dxa"/>
            <w:tcBorders>
              <w:top w:val="single" w:sz="8" w:space="0" w:color="auto"/>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Uygulanan Formül</w:t>
            </w:r>
          </w:p>
        </w:tc>
      </w:tr>
      <w:tr w:rsidR="004C0E8C" w:rsidRPr="004C0E8C" w:rsidTr="00C26E50">
        <w:trPr>
          <w:trHeight w:val="330"/>
        </w:trPr>
        <w:tc>
          <w:tcPr>
            <w:tcW w:w="2660" w:type="dxa"/>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vertAlign w:val="superscript"/>
                <w:lang w:eastAsia="tr-TR"/>
              </w:rPr>
            </w:pPr>
            <w:r w:rsidRPr="004C0E8C">
              <w:rPr>
                <w:rFonts w:ascii="Times New Roman" w:eastAsia="Times New Roman" w:hAnsi="Times New Roman" w:cs="Times New Roman"/>
                <w:noProof w:val="0"/>
                <w:sz w:val="24"/>
                <w:szCs w:val="24"/>
                <w:lang w:eastAsia="tr-TR"/>
              </w:rPr>
              <w:t>Önlisans</w:t>
            </w:r>
            <w:r w:rsidRPr="004C0E8C">
              <w:rPr>
                <w:rFonts w:ascii="Times New Roman" w:eastAsia="Times New Roman" w:hAnsi="Times New Roman" w:cs="Times New Roman"/>
                <w:noProof w:val="0"/>
                <w:sz w:val="24"/>
                <w:szCs w:val="24"/>
                <w:vertAlign w:val="superscript"/>
                <w:lang w:eastAsia="tr-TR"/>
              </w:rPr>
              <w:t>1</w:t>
            </w:r>
          </w:p>
        </w:tc>
        <w:tc>
          <w:tcPr>
            <w:tcW w:w="2100"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5</w:t>
            </w:r>
          </w:p>
        </w:tc>
        <w:tc>
          <w:tcPr>
            <w:tcW w:w="3240"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P x BYT x 0,05</w:t>
            </w:r>
          </w:p>
        </w:tc>
      </w:tr>
      <w:tr w:rsidR="004C0E8C" w:rsidRPr="004C0E8C" w:rsidTr="00C26E50">
        <w:trPr>
          <w:trHeight w:val="330"/>
        </w:trPr>
        <w:tc>
          <w:tcPr>
            <w:tcW w:w="2660" w:type="dxa"/>
            <w:tcBorders>
              <w:top w:val="nil"/>
              <w:left w:val="single" w:sz="8" w:space="0" w:color="auto"/>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Üretim Lisansı</w:t>
            </w:r>
            <w:r w:rsidRPr="004C0E8C">
              <w:rPr>
                <w:rFonts w:ascii="Times New Roman" w:eastAsia="Times New Roman" w:hAnsi="Times New Roman" w:cs="Times New Roman"/>
                <w:noProof w:val="0"/>
                <w:sz w:val="24"/>
                <w:szCs w:val="24"/>
                <w:vertAlign w:val="superscript"/>
                <w:lang w:eastAsia="tr-TR"/>
              </w:rPr>
              <w:t>2</w:t>
            </w:r>
          </w:p>
        </w:tc>
        <w:tc>
          <w:tcPr>
            <w:tcW w:w="2100"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20</w:t>
            </w:r>
          </w:p>
        </w:tc>
        <w:tc>
          <w:tcPr>
            <w:tcW w:w="3240" w:type="dxa"/>
            <w:tcBorders>
              <w:top w:val="nil"/>
              <w:left w:val="nil"/>
              <w:bottom w:val="single" w:sz="8" w:space="0" w:color="auto"/>
              <w:right w:val="single" w:sz="8" w:space="0" w:color="auto"/>
            </w:tcBorders>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P x BYT x 0,20</w:t>
            </w:r>
          </w:p>
        </w:tc>
      </w:tr>
    </w:tbl>
    <w:p w:rsidR="004C0E8C" w:rsidRPr="004C0E8C" w:rsidRDefault="004C0E8C" w:rsidP="004C0E8C">
      <w:pPr>
        <w:spacing w:after="0" w:line="240" w:lineRule="auto"/>
        <w:jc w:val="both"/>
        <w:rPr>
          <w:rFonts w:ascii="Times New Roman" w:eastAsia="Times New Roman" w:hAnsi="Times New Roman" w:cs="Times New Roman"/>
          <w:noProof w:val="0"/>
          <w:sz w:val="20"/>
          <w:szCs w:val="20"/>
          <w:lang w:eastAsia="ar-SA"/>
        </w:rPr>
      </w:pPr>
      <w:r w:rsidRPr="004C0E8C">
        <w:rPr>
          <w:rFonts w:ascii="Times New Roman" w:eastAsia="Times New Roman" w:hAnsi="Times New Roman" w:cs="Times New Roman"/>
          <w:noProof w:val="0"/>
          <w:sz w:val="20"/>
          <w:szCs w:val="20"/>
          <w:lang w:eastAsia="tr-TR"/>
        </w:rPr>
        <w:t xml:space="preserve">                  P : Kurulu Güç (MWm cinsinden; virgülden sonraki üç basamak dâhil)</w:t>
      </w:r>
    </w:p>
    <w:p w:rsidR="004C0E8C" w:rsidRPr="004C0E8C" w:rsidRDefault="004C0E8C" w:rsidP="004C0E8C">
      <w:pPr>
        <w:tabs>
          <w:tab w:val="left" w:pos="1134"/>
        </w:tabs>
        <w:spacing w:after="0" w:line="240" w:lineRule="auto"/>
        <w:ind w:left="720"/>
        <w:contextualSpacing/>
        <w:jc w:val="both"/>
        <w:rPr>
          <w:rFonts w:ascii="Times New Roman" w:eastAsia="Times New Roman" w:hAnsi="Times New Roman" w:cs="Times New Roman"/>
          <w:noProof w:val="0"/>
          <w:sz w:val="20"/>
          <w:szCs w:val="20"/>
          <w:lang w:eastAsia="tr-TR"/>
        </w:rPr>
      </w:pPr>
      <w:r w:rsidRPr="004C0E8C">
        <w:rPr>
          <w:rFonts w:ascii="Times New Roman" w:eastAsia="Times New Roman" w:hAnsi="Times New Roman" w:cs="Times New Roman"/>
          <w:noProof w:val="0"/>
          <w:sz w:val="24"/>
          <w:szCs w:val="24"/>
          <w:lang w:eastAsia="tr-TR"/>
        </w:rPr>
        <w:t xml:space="preserve">    BYT : Kurum tarafından öngörülen toplam birim yatırım tutarı (TL)</w:t>
      </w:r>
    </w:p>
    <w:p w:rsidR="004C0E8C" w:rsidRPr="004C0E8C" w:rsidRDefault="004C0E8C" w:rsidP="004C0E8C">
      <w:pPr>
        <w:tabs>
          <w:tab w:val="left" w:pos="1134"/>
        </w:tabs>
        <w:spacing w:after="0" w:line="240" w:lineRule="auto"/>
        <w:ind w:left="993" w:hanging="142"/>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vertAlign w:val="superscript"/>
          <w:lang w:eastAsia="tr-TR"/>
        </w:rPr>
        <w:t>1</w:t>
      </w:r>
      <w:r w:rsidRPr="004C0E8C">
        <w:rPr>
          <w:rFonts w:ascii="Times New Roman" w:eastAsia="Times New Roman" w:hAnsi="Times New Roman" w:cs="Times New Roman"/>
          <w:noProof w:val="0"/>
          <w:sz w:val="24"/>
          <w:szCs w:val="24"/>
          <w:lang w:eastAsia="tr-TR"/>
        </w:rPr>
        <w:t xml:space="preserve"> Nükleer enerjiye veya yerli kömüre dayalı üretim tesisi kurulması için yapılan önlisans başvuruları için %1.</w:t>
      </w:r>
    </w:p>
    <w:p w:rsidR="004C0E8C" w:rsidRPr="004C0E8C" w:rsidRDefault="004C0E8C" w:rsidP="004C0E8C">
      <w:pPr>
        <w:tabs>
          <w:tab w:val="left" w:pos="1134"/>
        </w:tabs>
        <w:spacing w:after="0" w:line="240" w:lineRule="auto"/>
        <w:ind w:left="993" w:hanging="142"/>
        <w:contextualSpacing/>
        <w:jc w:val="both"/>
        <w:rPr>
          <w:rFonts w:ascii="Times New Roman" w:eastAsia="Times New Roman" w:hAnsi="Times New Roman" w:cs="Times New Roman"/>
          <w:noProof w:val="0"/>
          <w:sz w:val="18"/>
          <w:szCs w:val="18"/>
          <w:lang w:eastAsia="tr-TR"/>
        </w:rPr>
      </w:pPr>
      <w:r w:rsidRPr="004C0E8C">
        <w:rPr>
          <w:rFonts w:ascii="Times New Roman" w:eastAsia="Times New Roman" w:hAnsi="Times New Roman" w:cs="Times New Roman"/>
          <w:noProof w:val="0"/>
          <w:sz w:val="24"/>
          <w:szCs w:val="24"/>
          <w:vertAlign w:val="superscript"/>
          <w:lang w:eastAsia="tr-TR"/>
        </w:rPr>
        <w:t>2</w:t>
      </w:r>
      <w:r w:rsidRPr="004C0E8C">
        <w:rPr>
          <w:rFonts w:ascii="Times New Roman" w:eastAsia="Times New Roman" w:hAnsi="Times New Roman" w:cs="Times New Roman"/>
          <w:noProof w:val="0"/>
          <w:sz w:val="24"/>
          <w:szCs w:val="24"/>
          <w:lang w:eastAsia="tr-TR"/>
        </w:rPr>
        <w:t xml:space="preserve"> Nükleer enerjiye veya yerli kömüre dayalı veya YEKA kapsamında üretim tesisi kurulması için yapılan üretim lisansı başvuruları için %5. </w:t>
      </w:r>
    </w:p>
    <w:p w:rsidR="004C0E8C" w:rsidRPr="004C0E8C" w:rsidRDefault="004C0E8C" w:rsidP="004C0E8C">
      <w:pPr>
        <w:tabs>
          <w:tab w:val="left" w:pos="1134"/>
        </w:tabs>
        <w:spacing w:after="0" w:line="240" w:lineRule="auto"/>
        <w:ind w:left="720"/>
        <w:contextualSpacing/>
        <w:jc w:val="both"/>
        <w:rPr>
          <w:rFonts w:ascii="Times New Roman" w:eastAsia="Times New Roman" w:hAnsi="Times New Roman" w:cs="Times New Roman"/>
          <w:noProof w:val="0"/>
          <w:sz w:val="16"/>
          <w:szCs w:val="16"/>
          <w:lang w:eastAsia="tr-TR"/>
        </w:rPr>
      </w:pPr>
    </w:p>
    <w:p w:rsidR="004C0E8C" w:rsidRPr="004C0E8C" w:rsidRDefault="004C0E8C" w:rsidP="004C0E8C">
      <w:pPr>
        <w:tabs>
          <w:tab w:val="left" w:pos="1134"/>
        </w:tabs>
        <w:spacing w:after="0" w:line="240" w:lineRule="auto"/>
        <w:ind w:left="720"/>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3)</w:t>
      </w:r>
      <w:r w:rsidRPr="004C0E8C">
        <w:rPr>
          <w:rFonts w:ascii="Times New Roman" w:eastAsia="Times New Roman" w:hAnsi="Times New Roman" w:cs="Times New Roman"/>
          <w:noProof w:val="0"/>
          <w:sz w:val="24"/>
          <w:szCs w:val="24"/>
          <w:lang w:eastAsia="tr-TR"/>
        </w:rPr>
        <w:t xml:space="preserve"> Teminat tutarının hesaplanmasına ilişkin olarak;</w:t>
      </w:r>
    </w:p>
    <w:p w:rsidR="004C0E8C" w:rsidRPr="004C0E8C" w:rsidRDefault="004C0E8C" w:rsidP="004C0E8C">
      <w:pPr>
        <w:tabs>
          <w:tab w:val="left" w:pos="1134"/>
        </w:tabs>
        <w:spacing w:after="0" w:line="240" w:lineRule="auto"/>
        <w:ind w:left="720"/>
        <w:contextualSpacing/>
        <w:jc w:val="both"/>
        <w:rPr>
          <w:rFonts w:ascii="Times New Roman" w:eastAsia="Times New Roman" w:hAnsi="Times New Roman" w:cs="Times New Roman"/>
          <w:noProof w:val="0"/>
          <w:sz w:val="20"/>
          <w:szCs w:val="20"/>
          <w:lang w:eastAsia="tr-TR"/>
        </w:rPr>
      </w:pPr>
    </w:p>
    <w:p w:rsidR="004C0E8C" w:rsidRPr="004C0E8C" w:rsidRDefault="004C0E8C" w:rsidP="004C0E8C">
      <w:pPr>
        <w:tabs>
          <w:tab w:val="left" w:pos="709"/>
        </w:tabs>
        <w:spacing w:after="0" w:line="240" w:lineRule="auto"/>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ab/>
        <w:t>a)</w:t>
      </w:r>
      <w:r w:rsidRPr="004C0E8C">
        <w:rPr>
          <w:rFonts w:ascii="Times New Roman" w:eastAsia="Times New Roman" w:hAnsi="Times New Roman" w:cs="Times New Roman"/>
          <w:noProof w:val="0"/>
          <w:sz w:val="24"/>
          <w:szCs w:val="24"/>
          <w:lang w:eastAsia="tr-TR"/>
        </w:rPr>
        <w:t xml:space="preserve"> Yönetmeliğin 12 nci maddesinin beşinci fıkrası çerçevesinde önlisans başvurusunda bulunacak tüzel kişilerden MWm cinsinden kurulu güç (virgülden sonraki üç basamak dâhil) başına alınacak teminat tutarının 10.000 (onbin) TL olmasına, ancak bu tutarın 5.000.000 (beşmilyon) TL’yi aşmamasına,</w:t>
      </w:r>
    </w:p>
    <w:p w:rsidR="004C0E8C" w:rsidRPr="004C0E8C" w:rsidRDefault="004C0E8C" w:rsidP="004C0E8C">
      <w:pPr>
        <w:tabs>
          <w:tab w:val="left" w:pos="1134"/>
        </w:tabs>
        <w:spacing w:after="0" w:line="240" w:lineRule="auto"/>
        <w:ind w:left="720"/>
        <w:contextualSpacing/>
        <w:jc w:val="both"/>
        <w:rPr>
          <w:rFonts w:ascii="Times New Roman" w:eastAsia="Times New Roman" w:hAnsi="Times New Roman" w:cs="Times New Roman"/>
          <w:noProof w:val="0"/>
          <w:sz w:val="20"/>
          <w:szCs w:val="20"/>
          <w:lang w:eastAsia="tr-TR"/>
        </w:rPr>
      </w:pPr>
    </w:p>
    <w:p w:rsidR="004C0E8C" w:rsidRPr="004C0E8C" w:rsidRDefault="004C0E8C" w:rsidP="004C0E8C">
      <w:pPr>
        <w:tabs>
          <w:tab w:val="left" w:pos="709"/>
        </w:tabs>
        <w:spacing w:after="0" w:line="240" w:lineRule="auto"/>
        <w:ind w:left="720"/>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b)</w:t>
      </w:r>
      <w:r w:rsidRPr="004C0E8C">
        <w:rPr>
          <w:rFonts w:ascii="Times New Roman" w:eastAsia="Times New Roman" w:hAnsi="Times New Roman" w:cs="Times New Roman"/>
          <w:noProof w:val="0"/>
          <w:sz w:val="24"/>
          <w:szCs w:val="24"/>
          <w:lang w:eastAsia="tr-TR"/>
        </w:rPr>
        <w:t xml:space="preserve"> Yönetmeliğin 20 nci maddesinin altıncı fıkrası çerçevesinde;</w:t>
      </w:r>
    </w:p>
    <w:p w:rsidR="004C0E8C" w:rsidRPr="004C0E8C" w:rsidRDefault="004C0E8C" w:rsidP="004C0E8C">
      <w:pPr>
        <w:tabs>
          <w:tab w:val="left" w:pos="1134"/>
        </w:tabs>
        <w:spacing w:after="0" w:line="240" w:lineRule="auto"/>
        <w:ind w:left="720"/>
        <w:contextualSpacing/>
        <w:jc w:val="both"/>
        <w:rPr>
          <w:rFonts w:ascii="Times New Roman" w:eastAsia="Times New Roman" w:hAnsi="Times New Roman" w:cs="Times New Roman"/>
          <w:noProof w:val="0"/>
          <w:sz w:val="20"/>
          <w:szCs w:val="20"/>
          <w:lang w:eastAsia="tr-TR"/>
        </w:rPr>
      </w:pPr>
    </w:p>
    <w:p w:rsidR="004C0E8C" w:rsidRPr="004C0E8C" w:rsidRDefault="004C0E8C" w:rsidP="004C0E8C">
      <w:pPr>
        <w:spacing w:after="0" w:line="240" w:lineRule="auto"/>
        <w:ind w:firstLine="709"/>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b.1)</w:t>
      </w:r>
      <w:r w:rsidRPr="004C0E8C">
        <w:rPr>
          <w:rFonts w:ascii="Times New Roman" w:eastAsia="Times New Roman" w:hAnsi="Times New Roman" w:cs="Times New Roman"/>
          <w:noProof w:val="0"/>
          <w:sz w:val="24"/>
          <w:szCs w:val="24"/>
          <w:lang w:eastAsia="tr-TR"/>
        </w:rPr>
        <w:t xml:space="preserve"> Yerli kömüre dayalı üretim lisansı başvuruları ile </w:t>
      </w:r>
      <w:r w:rsidRPr="004C0E8C">
        <w:rPr>
          <w:rFonts w:ascii="Times New Roman" w:eastAsia="Times New Roman" w:hAnsi="Times New Roman" w:cs="Times New Roman"/>
          <w:noProof w:val="0"/>
          <w:sz w:val="24"/>
          <w:szCs w:val="24"/>
          <w:lang w:val="en-US" w:eastAsia="tr-TR"/>
        </w:rPr>
        <w:t xml:space="preserve">9/10/2016 tarihli ve 29852 sayılı Resmi Gazete’de yayımlanarak yürürlüğe giren Yenilenebilir Enerji Kaynak Alanları Yönetmeliği </w:t>
      </w:r>
      <w:r w:rsidRPr="004C0E8C">
        <w:rPr>
          <w:rFonts w:ascii="Times New Roman" w:eastAsia="Times New Roman" w:hAnsi="Times New Roman" w:cs="Times New Roman"/>
          <w:noProof w:val="0"/>
          <w:sz w:val="24"/>
          <w:szCs w:val="24"/>
          <w:lang w:eastAsia="tr-TR"/>
        </w:rPr>
        <w:t>kapsamında yer alan üretim lisansı başvurularında Kuruma sunulması gereken teminat tutarlarının aşağıdaki tablo uyarınca tespit edilmesine, tabloda anılan formüle göre hesaplanacak teminat tutarına ilişkin üst sınırın 30.000.000 (otuzmilyon) TL olarak belirlenmesine,</w:t>
      </w:r>
    </w:p>
    <w:p w:rsidR="004C0E8C" w:rsidRPr="004C0E8C" w:rsidRDefault="004C0E8C" w:rsidP="004C0E8C">
      <w:pPr>
        <w:spacing w:after="0" w:line="240" w:lineRule="auto"/>
        <w:jc w:val="both"/>
        <w:rPr>
          <w:rFonts w:ascii="Times New Roman" w:eastAsia="Times New Roman" w:hAnsi="Times New Roman" w:cs="Times New Roman"/>
          <w:noProof w:val="0"/>
          <w:sz w:val="24"/>
          <w:szCs w:val="24"/>
          <w:lang w:eastAsia="tr-TR"/>
        </w:rPr>
      </w:pP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5"/>
        <w:gridCol w:w="4536"/>
      </w:tblGrid>
      <w:tr w:rsidR="004C0E8C" w:rsidRPr="004C0E8C" w:rsidTr="00C26E50">
        <w:trPr>
          <w:trHeight w:val="936"/>
          <w:jc w:val="center"/>
        </w:trPr>
        <w:tc>
          <w:tcPr>
            <w:tcW w:w="192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Öngörülen toplam yatırım</w:t>
            </w:r>
          </w:p>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tutarına uygulanacak yüzde (%)</w:t>
            </w:r>
          </w:p>
        </w:tc>
        <w:tc>
          <w:tcPr>
            <w:tcW w:w="30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Uygulanan Formül</w:t>
            </w:r>
          </w:p>
        </w:tc>
      </w:tr>
      <w:tr w:rsidR="004C0E8C" w:rsidRPr="004C0E8C" w:rsidTr="00C26E50">
        <w:trPr>
          <w:trHeight w:val="485"/>
          <w:jc w:val="center"/>
        </w:trPr>
        <w:tc>
          <w:tcPr>
            <w:tcW w:w="192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1</w:t>
            </w:r>
          </w:p>
        </w:tc>
        <w:tc>
          <w:tcPr>
            <w:tcW w:w="30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P x BYT x 0,01</w:t>
            </w:r>
          </w:p>
        </w:tc>
      </w:tr>
    </w:tbl>
    <w:p w:rsidR="004C0E8C" w:rsidRPr="004C0E8C" w:rsidRDefault="004C0E8C" w:rsidP="004C0E8C">
      <w:pPr>
        <w:tabs>
          <w:tab w:val="left" w:pos="1276"/>
        </w:tabs>
        <w:spacing w:after="0" w:line="240" w:lineRule="auto"/>
        <w:ind w:firstLine="993"/>
        <w:jc w:val="both"/>
        <w:rPr>
          <w:rFonts w:ascii="Times New Roman" w:eastAsia="Times New Roman" w:hAnsi="Times New Roman" w:cs="Times New Roman"/>
          <w:noProof w:val="0"/>
          <w:sz w:val="20"/>
          <w:szCs w:val="20"/>
          <w:lang w:eastAsia="ar-SA"/>
        </w:rPr>
      </w:pPr>
      <w:r w:rsidRPr="004C0E8C">
        <w:rPr>
          <w:rFonts w:ascii="Times New Roman" w:eastAsia="Times New Roman" w:hAnsi="Times New Roman" w:cs="Times New Roman"/>
          <w:noProof w:val="0"/>
          <w:sz w:val="20"/>
          <w:szCs w:val="20"/>
          <w:lang w:eastAsia="tr-TR"/>
        </w:rPr>
        <w:t>P: Kurulu Güç (</w:t>
      </w:r>
      <w:r w:rsidRPr="004C0E8C">
        <w:rPr>
          <w:rFonts w:ascii="Times New Roman" w:eastAsia="Times New Roman" w:hAnsi="Times New Roman" w:cs="Times New Roman"/>
          <w:i/>
          <w:noProof w:val="0"/>
          <w:sz w:val="20"/>
          <w:szCs w:val="20"/>
          <w:lang w:eastAsia="tr-TR"/>
        </w:rPr>
        <w:t>MW</w:t>
      </w:r>
      <w:r w:rsidRPr="004C0E8C">
        <w:rPr>
          <w:rFonts w:ascii="Times New Roman" w:eastAsia="Times New Roman" w:hAnsi="Times New Roman" w:cs="Times New Roman"/>
          <w:i/>
          <w:noProof w:val="0"/>
          <w:sz w:val="20"/>
          <w:szCs w:val="20"/>
          <w:vertAlign w:val="subscript"/>
          <w:lang w:eastAsia="tr-TR"/>
        </w:rPr>
        <w:t>m</w:t>
      </w:r>
      <w:r w:rsidRPr="004C0E8C">
        <w:rPr>
          <w:rFonts w:ascii="Times New Roman" w:eastAsia="Times New Roman" w:hAnsi="Times New Roman" w:cs="Times New Roman"/>
          <w:i/>
          <w:noProof w:val="0"/>
          <w:sz w:val="20"/>
          <w:szCs w:val="20"/>
          <w:lang w:eastAsia="tr-TR"/>
        </w:rPr>
        <w:t xml:space="preserve"> cinsinden; virgülden sonraki üç basamak dâhil</w:t>
      </w:r>
      <w:r w:rsidRPr="004C0E8C">
        <w:rPr>
          <w:rFonts w:ascii="Times New Roman" w:eastAsia="Times New Roman" w:hAnsi="Times New Roman" w:cs="Times New Roman"/>
          <w:noProof w:val="0"/>
          <w:sz w:val="20"/>
          <w:szCs w:val="20"/>
          <w:lang w:eastAsia="tr-TR"/>
        </w:rPr>
        <w:t>)</w:t>
      </w:r>
    </w:p>
    <w:p w:rsidR="004C0E8C" w:rsidRPr="004C0E8C" w:rsidRDefault="004C0E8C" w:rsidP="004C0E8C">
      <w:pPr>
        <w:tabs>
          <w:tab w:val="left" w:pos="1276"/>
        </w:tabs>
        <w:spacing w:after="0" w:line="240" w:lineRule="auto"/>
        <w:ind w:firstLine="993"/>
        <w:jc w:val="both"/>
        <w:rPr>
          <w:rFonts w:ascii="Times New Roman" w:eastAsia="Times New Roman" w:hAnsi="Times New Roman" w:cs="Times New Roman"/>
          <w:noProof w:val="0"/>
          <w:sz w:val="20"/>
          <w:szCs w:val="20"/>
          <w:lang w:eastAsia="tr-TR"/>
        </w:rPr>
      </w:pPr>
      <w:r w:rsidRPr="004C0E8C">
        <w:rPr>
          <w:rFonts w:ascii="Times New Roman" w:eastAsia="Times New Roman" w:hAnsi="Times New Roman" w:cs="Times New Roman"/>
          <w:noProof w:val="0"/>
          <w:sz w:val="20"/>
          <w:szCs w:val="20"/>
          <w:lang w:eastAsia="tr-TR"/>
        </w:rPr>
        <w:t>BYT: Kurum tarafından öngörülen toplam birim yatırım tutarı (</w:t>
      </w:r>
      <w:r w:rsidRPr="004C0E8C">
        <w:rPr>
          <w:rFonts w:ascii="Times New Roman" w:eastAsia="Times New Roman" w:hAnsi="Times New Roman" w:cs="Times New Roman"/>
          <w:i/>
          <w:noProof w:val="0"/>
          <w:sz w:val="20"/>
          <w:szCs w:val="20"/>
          <w:lang w:eastAsia="tr-TR"/>
        </w:rPr>
        <w:t>TL/MW</w:t>
      </w:r>
      <w:r w:rsidRPr="004C0E8C">
        <w:rPr>
          <w:rFonts w:ascii="Times New Roman" w:eastAsia="Times New Roman" w:hAnsi="Times New Roman" w:cs="Times New Roman"/>
          <w:i/>
          <w:noProof w:val="0"/>
          <w:sz w:val="20"/>
          <w:szCs w:val="20"/>
          <w:vertAlign w:val="subscript"/>
          <w:lang w:eastAsia="tr-TR"/>
        </w:rPr>
        <w:t>m</w:t>
      </w:r>
      <w:r w:rsidRPr="004C0E8C">
        <w:rPr>
          <w:rFonts w:ascii="Times New Roman" w:eastAsia="Times New Roman" w:hAnsi="Times New Roman" w:cs="Times New Roman"/>
          <w:noProof w:val="0"/>
          <w:sz w:val="20"/>
          <w:szCs w:val="20"/>
          <w:lang w:eastAsia="tr-TR"/>
        </w:rPr>
        <w:t>)</w:t>
      </w:r>
    </w:p>
    <w:p w:rsidR="004C0E8C" w:rsidRPr="004C0E8C" w:rsidRDefault="004C0E8C" w:rsidP="004C0E8C">
      <w:pPr>
        <w:spacing w:after="0" w:line="240" w:lineRule="auto"/>
        <w:jc w:val="both"/>
        <w:rPr>
          <w:rFonts w:ascii="Arial" w:eastAsia="Times New Roman" w:hAnsi="Arial" w:cs="Arial"/>
          <w:noProof w:val="0"/>
          <w:sz w:val="16"/>
          <w:szCs w:val="16"/>
          <w:lang w:eastAsia="tr-TR"/>
        </w:rPr>
      </w:pPr>
    </w:p>
    <w:p w:rsidR="004C0E8C" w:rsidRPr="004C0E8C" w:rsidRDefault="004C0E8C" w:rsidP="004C0E8C">
      <w:pPr>
        <w:tabs>
          <w:tab w:val="left" w:pos="1134"/>
        </w:tabs>
        <w:spacing w:after="0" w:line="240" w:lineRule="auto"/>
        <w:ind w:firstLine="709"/>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b.2)</w:t>
      </w:r>
      <w:r w:rsidRPr="004C0E8C">
        <w:rPr>
          <w:rFonts w:ascii="Times New Roman" w:eastAsia="Times New Roman" w:hAnsi="Times New Roman" w:cs="Times New Roman"/>
          <w:noProof w:val="0"/>
          <w:sz w:val="24"/>
          <w:szCs w:val="24"/>
          <w:lang w:eastAsia="tr-TR"/>
        </w:rPr>
        <w:t xml:space="preserve"> (b.1) bendi kapsamı dışında kalan üretim lisansı başvurularında Kuruma sunulması gereken teminat tutarlarının aşağıdaki tablo uyarınca tespit edilmesine, tabloda anılan formüle göre hesaplanacak teminat tutarına ilişkin üst sınırın 78.600.000 (yetmişsekizmilyonaltıyüzbin) TL olarak belirlenmesine,</w:t>
      </w:r>
    </w:p>
    <w:p w:rsidR="004C0E8C" w:rsidRPr="004C0E8C" w:rsidRDefault="004C0E8C" w:rsidP="004C0E8C">
      <w:pPr>
        <w:spacing w:after="0" w:line="240" w:lineRule="auto"/>
        <w:jc w:val="both"/>
        <w:rPr>
          <w:rFonts w:ascii="Arial" w:eastAsia="Times New Roman" w:hAnsi="Arial" w:cs="Arial"/>
          <w:noProof w:val="0"/>
          <w:sz w:val="16"/>
          <w:szCs w:val="16"/>
          <w:lang w:eastAsia="tr-TR"/>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8"/>
        <w:gridCol w:w="2834"/>
        <w:gridCol w:w="3260"/>
      </w:tblGrid>
      <w:tr w:rsidR="004C0E8C" w:rsidRPr="004C0E8C" w:rsidTr="00C26E50">
        <w:trPr>
          <w:trHeight w:val="951"/>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Kurulu Güç (MW</w:t>
            </w:r>
            <w:r w:rsidRPr="004C0E8C">
              <w:rPr>
                <w:rFonts w:ascii="Times New Roman" w:eastAsia="Times New Roman" w:hAnsi="Times New Roman" w:cs="Times New Roman"/>
                <w:noProof w:val="0"/>
                <w:sz w:val="24"/>
                <w:szCs w:val="24"/>
                <w:vertAlign w:val="subscript"/>
                <w:lang w:eastAsia="tr-TR"/>
              </w:rPr>
              <w:t>m</w:t>
            </w:r>
            <w:r w:rsidRPr="004C0E8C">
              <w:rPr>
                <w:rFonts w:ascii="Times New Roman" w:eastAsia="Times New Roman" w:hAnsi="Times New Roman" w:cs="Times New Roman"/>
                <w:noProof w:val="0"/>
                <w:sz w:val="24"/>
                <w:szCs w:val="24"/>
                <w:lang w:eastAsia="tr-TR"/>
              </w:rPr>
              <w:t>)</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Öngörülen toplam yatırım</w:t>
            </w:r>
          </w:p>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tutarına uygulanacak yüzde (%)</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Uygulanan Formül</w:t>
            </w:r>
          </w:p>
        </w:tc>
      </w:tr>
      <w:tr w:rsidR="004C0E8C" w:rsidRPr="004C0E8C" w:rsidTr="00C26E50">
        <w:trPr>
          <w:trHeight w:val="469"/>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0 &lt; P ≤ 10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3</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P x BYT x 0,03</w:t>
            </w:r>
          </w:p>
        </w:tc>
      </w:tr>
      <w:tr w:rsidR="004C0E8C" w:rsidRPr="004C0E8C" w:rsidTr="00C26E50">
        <w:trPr>
          <w:trHeight w:val="417"/>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10 &lt; P ≤ 100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2</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BYT x [0,3 + (P – 10) x 0,02 ]</w:t>
            </w:r>
          </w:p>
        </w:tc>
      </w:tr>
      <w:tr w:rsidR="004C0E8C" w:rsidRPr="004C0E8C" w:rsidTr="00C26E50">
        <w:trPr>
          <w:trHeight w:val="410"/>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P &gt; 100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4C0E8C" w:rsidRPr="004C0E8C" w:rsidRDefault="004C0E8C" w:rsidP="004C0E8C">
            <w:pPr>
              <w:spacing w:after="0" w:line="240" w:lineRule="auto"/>
              <w:jc w:val="center"/>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1</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C0E8C" w:rsidRPr="004C0E8C" w:rsidRDefault="004C0E8C" w:rsidP="004C0E8C">
            <w:pPr>
              <w:spacing w:after="0" w:line="240" w:lineRule="auto"/>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noProof w:val="0"/>
                <w:sz w:val="24"/>
                <w:szCs w:val="24"/>
                <w:lang w:eastAsia="tr-TR"/>
              </w:rPr>
              <w:t xml:space="preserve"> BYT x [2,1 + (P – 100) x 0,01]</w:t>
            </w:r>
          </w:p>
        </w:tc>
      </w:tr>
    </w:tbl>
    <w:p w:rsidR="004C0E8C" w:rsidRPr="004C0E8C" w:rsidRDefault="004C0E8C" w:rsidP="004C0E8C">
      <w:pPr>
        <w:spacing w:after="0" w:line="240" w:lineRule="auto"/>
        <w:jc w:val="both"/>
        <w:rPr>
          <w:rFonts w:ascii="Times New Roman" w:eastAsia="Times New Roman" w:hAnsi="Times New Roman" w:cs="Times New Roman"/>
          <w:noProof w:val="0"/>
          <w:sz w:val="20"/>
          <w:szCs w:val="20"/>
          <w:lang w:eastAsia="ar-SA"/>
        </w:rPr>
      </w:pPr>
      <w:r w:rsidRPr="004C0E8C">
        <w:rPr>
          <w:rFonts w:ascii="Times New Roman" w:eastAsia="Times New Roman" w:hAnsi="Times New Roman" w:cs="Times New Roman"/>
          <w:noProof w:val="0"/>
          <w:sz w:val="20"/>
          <w:szCs w:val="20"/>
          <w:lang w:eastAsia="tr-TR"/>
        </w:rPr>
        <w:t xml:space="preserve">  P : Kurulu Güç (</w:t>
      </w:r>
      <w:r w:rsidRPr="004C0E8C">
        <w:rPr>
          <w:rFonts w:ascii="Times New Roman" w:eastAsia="Times New Roman" w:hAnsi="Times New Roman" w:cs="Times New Roman"/>
          <w:i/>
          <w:noProof w:val="0"/>
          <w:sz w:val="20"/>
          <w:szCs w:val="20"/>
          <w:lang w:eastAsia="tr-TR"/>
        </w:rPr>
        <w:t>MW</w:t>
      </w:r>
      <w:r w:rsidRPr="004C0E8C">
        <w:rPr>
          <w:rFonts w:ascii="Times New Roman" w:eastAsia="Times New Roman" w:hAnsi="Times New Roman" w:cs="Times New Roman"/>
          <w:i/>
          <w:noProof w:val="0"/>
          <w:sz w:val="20"/>
          <w:szCs w:val="20"/>
          <w:vertAlign w:val="subscript"/>
          <w:lang w:eastAsia="tr-TR"/>
        </w:rPr>
        <w:t>m</w:t>
      </w:r>
      <w:r w:rsidRPr="004C0E8C">
        <w:rPr>
          <w:rFonts w:ascii="Times New Roman" w:eastAsia="Times New Roman" w:hAnsi="Times New Roman" w:cs="Times New Roman"/>
          <w:i/>
          <w:noProof w:val="0"/>
          <w:sz w:val="20"/>
          <w:szCs w:val="20"/>
          <w:lang w:eastAsia="tr-TR"/>
        </w:rPr>
        <w:t xml:space="preserve"> cinsinden; virgülden sonraki üç basamak dâhil</w:t>
      </w:r>
      <w:r w:rsidRPr="004C0E8C">
        <w:rPr>
          <w:rFonts w:ascii="Times New Roman" w:eastAsia="Times New Roman" w:hAnsi="Times New Roman" w:cs="Times New Roman"/>
          <w:noProof w:val="0"/>
          <w:sz w:val="20"/>
          <w:szCs w:val="20"/>
          <w:lang w:eastAsia="tr-TR"/>
        </w:rPr>
        <w:t xml:space="preserve">) </w:t>
      </w:r>
    </w:p>
    <w:p w:rsidR="004C0E8C" w:rsidRPr="004C0E8C" w:rsidRDefault="004C0E8C" w:rsidP="004C0E8C">
      <w:pPr>
        <w:spacing w:after="0" w:line="240" w:lineRule="auto"/>
        <w:jc w:val="both"/>
        <w:rPr>
          <w:rFonts w:ascii="Times New Roman" w:eastAsia="Times New Roman" w:hAnsi="Times New Roman" w:cs="Times New Roman"/>
          <w:noProof w:val="0"/>
          <w:sz w:val="20"/>
          <w:szCs w:val="20"/>
          <w:lang w:eastAsia="tr-TR"/>
        </w:rPr>
      </w:pPr>
      <w:r w:rsidRPr="004C0E8C">
        <w:rPr>
          <w:rFonts w:ascii="Times New Roman" w:eastAsia="Times New Roman" w:hAnsi="Times New Roman" w:cs="Times New Roman"/>
          <w:noProof w:val="0"/>
          <w:sz w:val="20"/>
          <w:szCs w:val="20"/>
          <w:lang w:eastAsia="tr-TR"/>
        </w:rPr>
        <w:t xml:space="preserve">  BYT : Kurum tarafından öngörülen toplam birim yatırım tutarı (</w:t>
      </w:r>
      <w:r w:rsidRPr="004C0E8C">
        <w:rPr>
          <w:rFonts w:ascii="Times New Roman" w:eastAsia="Times New Roman" w:hAnsi="Times New Roman" w:cs="Times New Roman"/>
          <w:i/>
          <w:noProof w:val="0"/>
          <w:sz w:val="20"/>
          <w:szCs w:val="20"/>
          <w:lang w:eastAsia="tr-TR"/>
        </w:rPr>
        <w:t>TL/MW</w:t>
      </w:r>
      <w:r w:rsidRPr="004C0E8C">
        <w:rPr>
          <w:rFonts w:ascii="Times New Roman" w:eastAsia="Times New Roman" w:hAnsi="Times New Roman" w:cs="Times New Roman"/>
          <w:i/>
          <w:noProof w:val="0"/>
          <w:sz w:val="20"/>
          <w:szCs w:val="20"/>
          <w:vertAlign w:val="subscript"/>
          <w:lang w:eastAsia="tr-TR"/>
        </w:rPr>
        <w:t>m</w:t>
      </w:r>
      <w:r w:rsidRPr="004C0E8C">
        <w:rPr>
          <w:rFonts w:ascii="Times New Roman" w:eastAsia="Times New Roman" w:hAnsi="Times New Roman" w:cs="Times New Roman"/>
          <w:noProof w:val="0"/>
          <w:sz w:val="20"/>
          <w:szCs w:val="20"/>
          <w:lang w:eastAsia="tr-TR"/>
        </w:rPr>
        <w:t>)</w:t>
      </w:r>
    </w:p>
    <w:p w:rsidR="004C0E8C" w:rsidRPr="004C0E8C" w:rsidRDefault="004C0E8C" w:rsidP="004C0E8C">
      <w:pPr>
        <w:spacing w:after="0" w:line="240" w:lineRule="auto"/>
        <w:jc w:val="both"/>
        <w:rPr>
          <w:rFonts w:ascii="Times New Roman" w:eastAsia="Times New Roman" w:hAnsi="Times New Roman" w:cs="Times New Roman"/>
          <w:noProof w:val="0"/>
          <w:sz w:val="20"/>
          <w:szCs w:val="20"/>
          <w:lang w:eastAsia="tr-TR"/>
        </w:rPr>
      </w:pPr>
    </w:p>
    <w:p w:rsidR="004C0E8C" w:rsidRPr="004C0E8C" w:rsidRDefault="004C0E8C" w:rsidP="004C0E8C">
      <w:pPr>
        <w:spacing w:after="0" w:line="240" w:lineRule="auto"/>
        <w:ind w:firstLine="708"/>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b.3)</w:t>
      </w:r>
      <w:r w:rsidRPr="004C0E8C">
        <w:rPr>
          <w:rFonts w:ascii="Times New Roman" w:eastAsia="Times New Roman" w:hAnsi="Times New Roman" w:cs="Times New Roman"/>
          <w:noProof w:val="0"/>
          <w:sz w:val="24"/>
          <w:szCs w:val="24"/>
          <w:lang w:eastAsia="tr-TR"/>
        </w:rPr>
        <w:t xml:space="preserve"> Talep edilmesi halinde, bu Karar kapsamında hesaplanan teminat tutarı kadar teminatın/teminatların Kuruma sunulması kaydıyla, daha önce sunulmuş olan teminatın iade edilmesine,</w:t>
      </w:r>
    </w:p>
    <w:p w:rsidR="004C0E8C" w:rsidRPr="004C0E8C" w:rsidRDefault="004C0E8C" w:rsidP="004C0E8C">
      <w:pPr>
        <w:tabs>
          <w:tab w:val="left" w:pos="709"/>
        </w:tabs>
        <w:spacing w:after="0" w:line="240" w:lineRule="auto"/>
        <w:ind w:left="720"/>
        <w:contextualSpacing/>
        <w:rPr>
          <w:rFonts w:ascii="Times New Roman" w:eastAsia="Times New Roman" w:hAnsi="Times New Roman" w:cs="Times New Roman"/>
          <w:noProof w:val="0"/>
          <w:sz w:val="24"/>
          <w:szCs w:val="24"/>
          <w:lang w:eastAsia="tr-TR"/>
        </w:rPr>
      </w:pPr>
    </w:p>
    <w:p w:rsidR="004C0E8C" w:rsidRPr="004C0E8C" w:rsidRDefault="004C0E8C" w:rsidP="004C0E8C">
      <w:pPr>
        <w:tabs>
          <w:tab w:val="left" w:pos="709"/>
        </w:tabs>
        <w:spacing w:after="0" w:line="240" w:lineRule="auto"/>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ab/>
        <w:t>4)</w:t>
      </w:r>
      <w:r w:rsidRPr="004C0E8C">
        <w:rPr>
          <w:rFonts w:ascii="Times New Roman" w:eastAsia="Times New Roman" w:hAnsi="Times New Roman" w:cs="Times New Roman"/>
          <w:noProof w:val="0"/>
          <w:sz w:val="24"/>
          <w:szCs w:val="24"/>
          <w:lang w:eastAsia="tr-TR"/>
        </w:rPr>
        <w:t xml:space="preserve"> Birden çok kaynaklı elektrik üretim tesislerine ilişkin başvurularda, bu kararda belirtilen işlemlerle ilgili olarak ana kaynak ve yardımcı kaynağın MWm cinsinden kurulu güçlerinin toplanarak ana kaynak birim yatırım tutarı üzerinden birlikte değerlendirilmesine,</w:t>
      </w:r>
    </w:p>
    <w:p w:rsidR="004C0E8C" w:rsidRPr="004C0E8C" w:rsidRDefault="004C0E8C" w:rsidP="004C0E8C">
      <w:pPr>
        <w:tabs>
          <w:tab w:val="left" w:pos="709"/>
        </w:tabs>
        <w:spacing w:after="0" w:line="240" w:lineRule="auto"/>
        <w:jc w:val="both"/>
        <w:rPr>
          <w:rFonts w:ascii="Times New Roman" w:eastAsia="Times New Roman" w:hAnsi="Times New Roman" w:cs="Times New Roman"/>
          <w:noProof w:val="0"/>
          <w:sz w:val="24"/>
          <w:szCs w:val="24"/>
          <w:lang w:eastAsia="tr-TR"/>
        </w:rPr>
      </w:pPr>
    </w:p>
    <w:p w:rsidR="004C0E8C" w:rsidRPr="004C0E8C" w:rsidRDefault="004C0E8C" w:rsidP="004C0E8C">
      <w:pPr>
        <w:tabs>
          <w:tab w:val="left" w:pos="709"/>
        </w:tabs>
        <w:spacing w:after="0" w:line="240" w:lineRule="auto"/>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ab/>
        <w:t>5)</w:t>
      </w:r>
      <w:r w:rsidRPr="004C0E8C">
        <w:rPr>
          <w:rFonts w:ascii="Times New Roman" w:eastAsia="Times New Roman" w:hAnsi="Times New Roman" w:cs="Times New Roman"/>
          <w:noProof w:val="0"/>
          <w:sz w:val="24"/>
          <w:szCs w:val="24"/>
          <w:lang w:eastAsia="tr-TR"/>
        </w:rPr>
        <w:t xml:space="preserve"> 21/11/2013 tarihli ve 4709-4 sayılı ve 21/11/2013 tarihli ve 4709-6 sayılı Kurul Kararlarının yürürlükten kaldırılmasına,</w:t>
      </w:r>
    </w:p>
    <w:p w:rsidR="004C0E8C" w:rsidRPr="004C0E8C" w:rsidRDefault="004C0E8C" w:rsidP="004C0E8C">
      <w:pPr>
        <w:tabs>
          <w:tab w:val="left" w:pos="709"/>
        </w:tabs>
        <w:spacing w:after="0" w:line="240" w:lineRule="auto"/>
        <w:jc w:val="both"/>
        <w:rPr>
          <w:rFonts w:ascii="Times New Roman" w:eastAsia="Times New Roman" w:hAnsi="Times New Roman" w:cs="Times New Roman"/>
          <w:noProof w:val="0"/>
          <w:sz w:val="24"/>
          <w:szCs w:val="24"/>
          <w:lang w:eastAsia="tr-TR"/>
        </w:rPr>
      </w:pPr>
    </w:p>
    <w:p w:rsidR="004C0E8C" w:rsidRPr="004C0E8C" w:rsidRDefault="004C0E8C" w:rsidP="004C0E8C">
      <w:pPr>
        <w:autoSpaceDE w:val="0"/>
        <w:autoSpaceDN w:val="0"/>
        <w:adjustRightInd w:val="0"/>
        <w:spacing w:after="0" w:line="240" w:lineRule="auto"/>
        <w:ind w:firstLine="708"/>
        <w:contextualSpacing/>
        <w:jc w:val="both"/>
        <w:rPr>
          <w:rFonts w:ascii="Times New Roman" w:eastAsia="Times New Roman" w:hAnsi="Times New Roman" w:cs="Times New Roman"/>
          <w:noProof w:val="0"/>
          <w:sz w:val="24"/>
          <w:szCs w:val="24"/>
          <w:lang w:eastAsia="tr-TR"/>
        </w:rPr>
      </w:pPr>
      <w:r w:rsidRPr="004C0E8C">
        <w:rPr>
          <w:rFonts w:ascii="Times New Roman" w:eastAsia="Times New Roman" w:hAnsi="Times New Roman" w:cs="Times New Roman"/>
          <w:b/>
          <w:noProof w:val="0"/>
          <w:sz w:val="24"/>
          <w:szCs w:val="24"/>
          <w:lang w:eastAsia="tr-TR"/>
        </w:rPr>
        <w:t>6)</w:t>
      </w:r>
      <w:r w:rsidRPr="004C0E8C">
        <w:rPr>
          <w:rFonts w:ascii="Times New Roman" w:eastAsia="Times New Roman" w:hAnsi="Times New Roman" w:cs="Times New Roman"/>
          <w:noProof w:val="0"/>
          <w:sz w:val="24"/>
          <w:szCs w:val="24"/>
          <w:lang w:eastAsia="tr-TR"/>
        </w:rPr>
        <w:t xml:space="preserve"> Kararın Resmi Gazete’de yayımlandığı tarihte yürürlüğe girmesine,</w:t>
      </w:r>
    </w:p>
    <w:p w:rsidR="00841DE3" w:rsidRPr="00841DE3" w:rsidRDefault="00841DE3" w:rsidP="00841DE3">
      <w:pPr>
        <w:spacing w:after="0" w:line="240" w:lineRule="auto"/>
        <w:ind w:left="720"/>
        <w:contextualSpacing/>
        <w:rPr>
          <w:rFonts w:ascii="Times New Roman" w:eastAsia="Calibri" w:hAnsi="Times New Roman" w:cs="Times New Roman"/>
          <w:noProof w:val="0"/>
          <w:sz w:val="24"/>
          <w:szCs w:val="24"/>
          <w:lang w:eastAsia="en-US"/>
        </w:rPr>
      </w:pPr>
    </w:p>
    <w:p w:rsidR="00841DE3" w:rsidRPr="00841DE3" w:rsidRDefault="00841DE3" w:rsidP="00841DE3">
      <w:pPr>
        <w:tabs>
          <w:tab w:val="left" w:pos="851"/>
        </w:tabs>
        <w:spacing w:after="0" w:line="240" w:lineRule="auto"/>
        <w:ind w:firstLine="567"/>
        <w:jc w:val="both"/>
        <w:rPr>
          <w:rFonts w:ascii="Times New Roman" w:eastAsia="Calibri" w:hAnsi="Times New Roman" w:cs="Times New Roman"/>
          <w:noProof w:val="0"/>
          <w:sz w:val="24"/>
          <w:szCs w:val="24"/>
          <w:lang w:eastAsia="en-US"/>
        </w:rPr>
      </w:pPr>
      <w:r w:rsidRPr="00841DE3">
        <w:rPr>
          <w:rFonts w:ascii="Times New Roman" w:eastAsia="Calibri" w:hAnsi="Times New Roman" w:cs="Times New Roman"/>
          <w:noProof w:val="0"/>
          <w:sz w:val="24"/>
          <w:szCs w:val="24"/>
          <w:lang w:eastAsia="en-US"/>
        </w:rPr>
        <w:t>karar verilmiştir.</w:t>
      </w:r>
    </w:p>
    <w:p w:rsidR="00841DE3" w:rsidRPr="00841DE3" w:rsidRDefault="00841DE3" w:rsidP="00841DE3">
      <w:pPr>
        <w:spacing w:after="0" w:line="240" w:lineRule="auto"/>
        <w:jc w:val="both"/>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5E3E01" w:rsidRDefault="005E3E01" w:rsidP="005E3E01">
      <w:pPr>
        <w:spacing w:after="0" w:line="240" w:lineRule="auto"/>
        <w:jc w:val="both"/>
        <w:rPr>
          <w:rFonts w:ascii="Times New Roman" w:hAnsi="Times New Roman" w:cs="Times New Roman"/>
          <w:sz w:val="24"/>
          <w:szCs w:val="24"/>
        </w:rPr>
      </w:pPr>
    </w:p>
    <w:sectPr w:rsidR="005E3E01" w:rsidSect="00026EF9">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C88" w:rsidRDefault="00EB0C88" w:rsidP="00916318">
      <w:pPr>
        <w:spacing w:after="0" w:line="240" w:lineRule="auto"/>
      </w:pPr>
      <w:r>
        <w:separator/>
      </w:r>
    </w:p>
  </w:endnote>
  <w:endnote w:type="continuationSeparator" w:id="0">
    <w:p w:rsidR="00EB0C88" w:rsidRDefault="00EB0C88"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3B8" w:rsidRDefault="007843B8">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E60ABF">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3B8" w:rsidRDefault="007843B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C88" w:rsidRDefault="00EB0C88" w:rsidP="00916318">
      <w:pPr>
        <w:spacing w:after="0" w:line="240" w:lineRule="auto"/>
      </w:pPr>
      <w:r>
        <w:separator/>
      </w:r>
    </w:p>
  </w:footnote>
  <w:footnote w:type="continuationSeparator" w:id="0">
    <w:p w:rsidR="00EB0C88" w:rsidRDefault="00EB0C88" w:rsidP="009163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3B8" w:rsidRDefault="007843B8">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3B8" w:rsidRDefault="007843B8">
    <w:pPr>
      <w:pStyle w:val="stbilgi"/>
    </w:pPr>
    <w:r>
      <w:rPr>
        <w:rFonts w:ascii="Segoe UI" w:hAnsi="Segoe UI" w:cs="Segoe UI"/>
        <w:color w:val="FFFFFF"/>
        <w:sz w:val="20"/>
        <w:szCs w:val="20"/>
        <w:u w:val="single"/>
        <w:shd w:val="clear" w:color="auto" w:fill="8C1826"/>
      </w:rPr>
      <w:t>25 Haziran 2020 Tarihli ve 31166 Sayılı Resmi Gazete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3B8" w:rsidRDefault="007843B8">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2">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3">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4">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ECA"/>
    <w:rsid w:val="000030AB"/>
    <w:rsid w:val="00026EF9"/>
    <w:rsid w:val="00030667"/>
    <w:rsid w:val="0004428A"/>
    <w:rsid w:val="000544D8"/>
    <w:rsid w:val="000713BB"/>
    <w:rsid w:val="0008092B"/>
    <w:rsid w:val="000845A8"/>
    <w:rsid w:val="00095CC3"/>
    <w:rsid w:val="000A5366"/>
    <w:rsid w:val="000C6FB9"/>
    <w:rsid w:val="000D23FB"/>
    <w:rsid w:val="000F04F0"/>
    <w:rsid w:val="000F145D"/>
    <w:rsid w:val="00114E87"/>
    <w:rsid w:val="00116AB7"/>
    <w:rsid w:val="001228CA"/>
    <w:rsid w:val="00136445"/>
    <w:rsid w:val="0014608A"/>
    <w:rsid w:val="001518DF"/>
    <w:rsid w:val="00155A83"/>
    <w:rsid w:val="00156875"/>
    <w:rsid w:val="00162A50"/>
    <w:rsid w:val="00163723"/>
    <w:rsid w:val="00165B30"/>
    <w:rsid w:val="00166E2F"/>
    <w:rsid w:val="00170BB2"/>
    <w:rsid w:val="001810B0"/>
    <w:rsid w:val="00182BF3"/>
    <w:rsid w:val="00185CE9"/>
    <w:rsid w:val="001913E9"/>
    <w:rsid w:val="001927F9"/>
    <w:rsid w:val="001A1713"/>
    <w:rsid w:val="001A41BF"/>
    <w:rsid w:val="001B456B"/>
    <w:rsid w:val="001B4B19"/>
    <w:rsid w:val="001B51FC"/>
    <w:rsid w:val="001B6253"/>
    <w:rsid w:val="001C00AC"/>
    <w:rsid w:val="001C1720"/>
    <w:rsid w:val="001C439F"/>
    <w:rsid w:val="001E164B"/>
    <w:rsid w:val="001E1F1E"/>
    <w:rsid w:val="001F63CE"/>
    <w:rsid w:val="0020683C"/>
    <w:rsid w:val="002234FA"/>
    <w:rsid w:val="002310E1"/>
    <w:rsid w:val="00231278"/>
    <w:rsid w:val="002377DE"/>
    <w:rsid w:val="00243CF7"/>
    <w:rsid w:val="0025202D"/>
    <w:rsid w:val="00253509"/>
    <w:rsid w:val="00256EF4"/>
    <w:rsid w:val="00261404"/>
    <w:rsid w:val="00273D68"/>
    <w:rsid w:val="002753CC"/>
    <w:rsid w:val="00276925"/>
    <w:rsid w:val="00282928"/>
    <w:rsid w:val="002A3050"/>
    <w:rsid w:val="002A56F5"/>
    <w:rsid w:val="002B3D60"/>
    <w:rsid w:val="002B42D3"/>
    <w:rsid w:val="002B47A0"/>
    <w:rsid w:val="002B4B02"/>
    <w:rsid w:val="002B6B7B"/>
    <w:rsid w:val="002E1C6A"/>
    <w:rsid w:val="002E36F0"/>
    <w:rsid w:val="002E73F4"/>
    <w:rsid w:val="002F6E80"/>
    <w:rsid w:val="003008C0"/>
    <w:rsid w:val="00304C87"/>
    <w:rsid w:val="003113C7"/>
    <w:rsid w:val="00311BFF"/>
    <w:rsid w:val="00313073"/>
    <w:rsid w:val="00320E1F"/>
    <w:rsid w:val="00320ECA"/>
    <w:rsid w:val="00324139"/>
    <w:rsid w:val="00331721"/>
    <w:rsid w:val="00334663"/>
    <w:rsid w:val="003369FB"/>
    <w:rsid w:val="0034227A"/>
    <w:rsid w:val="00343099"/>
    <w:rsid w:val="003500C1"/>
    <w:rsid w:val="003541D9"/>
    <w:rsid w:val="0035436B"/>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402089"/>
    <w:rsid w:val="00402268"/>
    <w:rsid w:val="00404395"/>
    <w:rsid w:val="0040605B"/>
    <w:rsid w:val="00406D3A"/>
    <w:rsid w:val="0040742D"/>
    <w:rsid w:val="004136EA"/>
    <w:rsid w:val="00413924"/>
    <w:rsid w:val="00431FCD"/>
    <w:rsid w:val="004354B3"/>
    <w:rsid w:val="00435710"/>
    <w:rsid w:val="00436B86"/>
    <w:rsid w:val="00437E4D"/>
    <w:rsid w:val="00444C2B"/>
    <w:rsid w:val="0044780F"/>
    <w:rsid w:val="004664B3"/>
    <w:rsid w:val="0046734C"/>
    <w:rsid w:val="0047251E"/>
    <w:rsid w:val="00472AA5"/>
    <w:rsid w:val="004769DA"/>
    <w:rsid w:val="004937E2"/>
    <w:rsid w:val="00494939"/>
    <w:rsid w:val="004A35D6"/>
    <w:rsid w:val="004B2B24"/>
    <w:rsid w:val="004B3398"/>
    <w:rsid w:val="004C0E8C"/>
    <w:rsid w:val="004C3E7F"/>
    <w:rsid w:val="004C4556"/>
    <w:rsid w:val="004C6076"/>
    <w:rsid w:val="004C74C2"/>
    <w:rsid w:val="004D3508"/>
    <w:rsid w:val="004D4FD0"/>
    <w:rsid w:val="004D53B8"/>
    <w:rsid w:val="004D7927"/>
    <w:rsid w:val="004E06D8"/>
    <w:rsid w:val="004F1206"/>
    <w:rsid w:val="004F46CD"/>
    <w:rsid w:val="00504858"/>
    <w:rsid w:val="005066DF"/>
    <w:rsid w:val="005211D6"/>
    <w:rsid w:val="0052412B"/>
    <w:rsid w:val="0052445F"/>
    <w:rsid w:val="00527768"/>
    <w:rsid w:val="0056228D"/>
    <w:rsid w:val="00564DF6"/>
    <w:rsid w:val="005725F6"/>
    <w:rsid w:val="005804C5"/>
    <w:rsid w:val="00587329"/>
    <w:rsid w:val="00591463"/>
    <w:rsid w:val="005A0138"/>
    <w:rsid w:val="005B14E7"/>
    <w:rsid w:val="005B37BF"/>
    <w:rsid w:val="005C3D61"/>
    <w:rsid w:val="005D1B6C"/>
    <w:rsid w:val="005D416B"/>
    <w:rsid w:val="005D5896"/>
    <w:rsid w:val="005E3E01"/>
    <w:rsid w:val="005F180F"/>
    <w:rsid w:val="005F3081"/>
    <w:rsid w:val="005F5728"/>
    <w:rsid w:val="006160C7"/>
    <w:rsid w:val="006247FF"/>
    <w:rsid w:val="00624F0A"/>
    <w:rsid w:val="00641501"/>
    <w:rsid w:val="006431D3"/>
    <w:rsid w:val="00643B21"/>
    <w:rsid w:val="006469A1"/>
    <w:rsid w:val="00656124"/>
    <w:rsid w:val="0066149E"/>
    <w:rsid w:val="00663188"/>
    <w:rsid w:val="0066460A"/>
    <w:rsid w:val="00664E9D"/>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522E"/>
    <w:rsid w:val="006E613B"/>
    <w:rsid w:val="006F4BAC"/>
    <w:rsid w:val="0070231B"/>
    <w:rsid w:val="007023C9"/>
    <w:rsid w:val="00702B92"/>
    <w:rsid w:val="00710DFA"/>
    <w:rsid w:val="00727F91"/>
    <w:rsid w:val="0073297D"/>
    <w:rsid w:val="007461DF"/>
    <w:rsid w:val="00760308"/>
    <w:rsid w:val="00760A3B"/>
    <w:rsid w:val="00760EE3"/>
    <w:rsid w:val="00773206"/>
    <w:rsid w:val="00773745"/>
    <w:rsid w:val="007843B8"/>
    <w:rsid w:val="007A1A70"/>
    <w:rsid w:val="007A6AB5"/>
    <w:rsid w:val="007B5D6E"/>
    <w:rsid w:val="007C0A96"/>
    <w:rsid w:val="007D3493"/>
    <w:rsid w:val="007E3427"/>
    <w:rsid w:val="007E5EF8"/>
    <w:rsid w:val="007F2BF6"/>
    <w:rsid w:val="0080075C"/>
    <w:rsid w:val="00800973"/>
    <w:rsid w:val="0080172F"/>
    <w:rsid w:val="00805B6F"/>
    <w:rsid w:val="008214E1"/>
    <w:rsid w:val="00826766"/>
    <w:rsid w:val="00830596"/>
    <w:rsid w:val="00834CF5"/>
    <w:rsid w:val="0083553C"/>
    <w:rsid w:val="00841DE3"/>
    <w:rsid w:val="008512B9"/>
    <w:rsid w:val="00863F53"/>
    <w:rsid w:val="00872415"/>
    <w:rsid w:val="008839F3"/>
    <w:rsid w:val="008865D7"/>
    <w:rsid w:val="00890EE4"/>
    <w:rsid w:val="008944CD"/>
    <w:rsid w:val="008A28BF"/>
    <w:rsid w:val="008B4ED5"/>
    <w:rsid w:val="008B5CAD"/>
    <w:rsid w:val="008C50EB"/>
    <w:rsid w:val="008D6EA2"/>
    <w:rsid w:val="008E5C0E"/>
    <w:rsid w:val="008E5FCF"/>
    <w:rsid w:val="008F5CC7"/>
    <w:rsid w:val="009040E2"/>
    <w:rsid w:val="00904D13"/>
    <w:rsid w:val="00907CAB"/>
    <w:rsid w:val="00907E0C"/>
    <w:rsid w:val="009109A7"/>
    <w:rsid w:val="0091331B"/>
    <w:rsid w:val="00914E05"/>
    <w:rsid w:val="00916318"/>
    <w:rsid w:val="00920C6D"/>
    <w:rsid w:val="0092702E"/>
    <w:rsid w:val="00927778"/>
    <w:rsid w:val="00950F16"/>
    <w:rsid w:val="00951B0E"/>
    <w:rsid w:val="00956A15"/>
    <w:rsid w:val="0096290C"/>
    <w:rsid w:val="00963976"/>
    <w:rsid w:val="00966D5D"/>
    <w:rsid w:val="00975B22"/>
    <w:rsid w:val="009930BC"/>
    <w:rsid w:val="009A4EF7"/>
    <w:rsid w:val="009A644B"/>
    <w:rsid w:val="009B619D"/>
    <w:rsid w:val="009C56C0"/>
    <w:rsid w:val="009D101F"/>
    <w:rsid w:val="009D33F8"/>
    <w:rsid w:val="009D7B6C"/>
    <w:rsid w:val="009F06DC"/>
    <w:rsid w:val="009F0AFE"/>
    <w:rsid w:val="00A10484"/>
    <w:rsid w:val="00A13F93"/>
    <w:rsid w:val="00A235B7"/>
    <w:rsid w:val="00A276DE"/>
    <w:rsid w:val="00A41148"/>
    <w:rsid w:val="00A5666A"/>
    <w:rsid w:val="00A612BF"/>
    <w:rsid w:val="00A63A83"/>
    <w:rsid w:val="00A801CE"/>
    <w:rsid w:val="00A823BA"/>
    <w:rsid w:val="00A83184"/>
    <w:rsid w:val="00A8716D"/>
    <w:rsid w:val="00A90750"/>
    <w:rsid w:val="00A90874"/>
    <w:rsid w:val="00A91D2B"/>
    <w:rsid w:val="00A92FB9"/>
    <w:rsid w:val="00A94D1C"/>
    <w:rsid w:val="00AA324F"/>
    <w:rsid w:val="00AB0A3A"/>
    <w:rsid w:val="00AB0A6D"/>
    <w:rsid w:val="00AB1AB8"/>
    <w:rsid w:val="00AB2932"/>
    <w:rsid w:val="00AC48B9"/>
    <w:rsid w:val="00AC63BC"/>
    <w:rsid w:val="00AE1F59"/>
    <w:rsid w:val="00AF2968"/>
    <w:rsid w:val="00AF5A2D"/>
    <w:rsid w:val="00B01F70"/>
    <w:rsid w:val="00B03051"/>
    <w:rsid w:val="00B032EC"/>
    <w:rsid w:val="00B06385"/>
    <w:rsid w:val="00B06A1F"/>
    <w:rsid w:val="00B10481"/>
    <w:rsid w:val="00B11607"/>
    <w:rsid w:val="00B13777"/>
    <w:rsid w:val="00B15047"/>
    <w:rsid w:val="00B1633B"/>
    <w:rsid w:val="00B22D37"/>
    <w:rsid w:val="00B25C0A"/>
    <w:rsid w:val="00B30B62"/>
    <w:rsid w:val="00B40671"/>
    <w:rsid w:val="00B5534C"/>
    <w:rsid w:val="00B57A40"/>
    <w:rsid w:val="00B6510C"/>
    <w:rsid w:val="00B74FF1"/>
    <w:rsid w:val="00B86234"/>
    <w:rsid w:val="00B94857"/>
    <w:rsid w:val="00B94EEF"/>
    <w:rsid w:val="00BA6392"/>
    <w:rsid w:val="00BB4EE5"/>
    <w:rsid w:val="00BC53A0"/>
    <w:rsid w:val="00BC7A94"/>
    <w:rsid w:val="00BD206A"/>
    <w:rsid w:val="00BE3B42"/>
    <w:rsid w:val="00BE3F13"/>
    <w:rsid w:val="00BE6879"/>
    <w:rsid w:val="00BF20E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FFF"/>
    <w:rsid w:val="00C60EFB"/>
    <w:rsid w:val="00C652E8"/>
    <w:rsid w:val="00C71CA3"/>
    <w:rsid w:val="00C83707"/>
    <w:rsid w:val="00C860B7"/>
    <w:rsid w:val="00C9543D"/>
    <w:rsid w:val="00CA1990"/>
    <w:rsid w:val="00CA761F"/>
    <w:rsid w:val="00CB1CAA"/>
    <w:rsid w:val="00CB1D7F"/>
    <w:rsid w:val="00CB5755"/>
    <w:rsid w:val="00CC01D4"/>
    <w:rsid w:val="00CC6184"/>
    <w:rsid w:val="00CC735B"/>
    <w:rsid w:val="00CE1D27"/>
    <w:rsid w:val="00CE2CE8"/>
    <w:rsid w:val="00CE4AC8"/>
    <w:rsid w:val="00CE63FC"/>
    <w:rsid w:val="00CF5CA3"/>
    <w:rsid w:val="00D128C4"/>
    <w:rsid w:val="00D16C5A"/>
    <w:rsid w:val="00D263DD"/>
    <w:rsid w:val="00D37B4F"/>
    <w:rsid w:val="00D47505"/>
    <w:rsid w:val="00D50FDB"/>
    <w:rsid w:val="00D52D8C"/>
    <w:rsid w:val="00D547D7"/>
    <w:rsid w:val="00D5569D"/>
    <w:rsid w:val="00D6351F"/>
    <w:rsid w:val="00D64C2D"/>
    <w:rsid w:val="00D70D44"/>
    <w:rsid w:val="00D70DC4"/>
    <w:rsid w:val="00D94CC9"/>
    <w:rsid w:val="00D96824"/>
    <w:rsid w:val="00D97359"/>
    <w:rsid w:val="00D97885"/>
    <w:rsid w:val="00DA48EF"/>
    <w:rsid w:val="00DA7543"/>
    <w:rsid w:val="00DB02D5"/>
    <w:rsid w:val="00DB6748"/>
    <w:rsid w:val="00DE6A88"/>
    <w:rsid w:val="00DF0A96"/>
    <w:rsid w:val="00DF0B6E"/>
    <w:rsid w:val="00DF3503"/>
    <w:rsid w:val="00E042CD"/>
    <w:rsid w:val="00E0502F"/>
    <w:rsid w:val="00E117BA"/>
    <w:rsid w:val="00E11D34"/>
    <w:rsid w:val="00E12EC9"/>
    <w:rsid w:val="00E152A7"/>
    <w:rsid w:val="00E21EA0"/>
    <w:rsid w:val="00E24262"/>
    <w:rsid w:val="00E30F10"/>
    <w:rsid w:val="00E54E4D"/>
    <w:rsid w:val="00E603E9"/>
    <w:rsid w:val="00E60ABF"/>
    <w:rsid w:val="00E61E58"/>
    <w:rsid w:val="00E803F0"/>
    <w:rsid w:val="00E82891"/>
    <w:rsid w:val="00E835B7"/>
    <w:rsid w:val="00E87EDE"/>
    <w:rsid w:val="00E90457"/>
    <w:rsid w:val="00E91D22"/>
    <w:rsid w:val="00EA1FA5"/>
    <w:rsid w:val="00EA2316"/>
    <w:rsid w:val="00EB0C88"/>
    <w:rsid w:val="00EB3D1A"/>
    <w:rsid w:val="00EC10C1"/>
    <w:rsid w:val="00ED0E69"/>
    <w:rsid w:val="00ED3086"/>
    <w:rsid w:val="00ED362F"/>
    <w:rsid w:val="00EE5EDF"/>
    <w:rsid w:val="00EF1775"/>
    <w:rsid w:val="00EF6E2B"/>
    <w:rsid w:val="00F01991"/>
    <w:rsid w:val="00F07443"/>
    <w:rsid w:val="00F15870"/>
    <w:rsid w:val="00F20590"/>
    <w:rsid w:val="00F21090"/>
    <w:rsid w:val="00F337B6"/>
    <w:rsid w:val="00F346B8"/>
    <w:rsid w:val="00F40972"/>
    <w:rsid w:val="00F41854"/>
    <w:rsid w:val="00F465F8"/>
    <w:rsid w:val="00F509B1"/>
    <w:rsid w:val="00F51635"/>
    <w:rsid w:val="00F518C8"/>
    <w:rsid w:val="00F644D6"/>
    <w:rsid w:val="00F674CD"/>
    <w:rsid w:val="00F844A1"/>
    <w:rsid w:val="00F87905"/>
    <w:rsid w:val="00F96B61"/>
    <w:rsid w:val="00FA5380"/>
    <w:rsid w:val="00FB3036"/>
    <w:rsid w:val="00FB44C3"/>
    <w:rsid w:val="00FC04A9"/>
    <w:rsid w:val="00FD3023"/>
    <w:rsid w:val="00FD5486"/>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1169C-F974-402E-A027-4314A5A35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733</Words>
  <Characters>4182</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İstemi YILDIZ</dc:creator>
  <cp:lastModifiedBy>Güzide KÖKTÜRK</cp:lastModifiedBy>
  <cp:revision>2</cp:revision>
  <cp:lastPrinted>2019-02-05T12:41:00Z</cp:lastPrinted>
  <dcterms:created xsi:type="dcterms:W3CDTF">2021-04-02T13:17:00Z</dcterms:created>
  <dcterms:modified xsi:type="dcterms:W3CDTF">2021-04-02T13:17:00Z</dcterms:modified>
</cp:coreProperties>
</file>