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X="-289" w:tblpY="972"/>
        <w:tblW w:w="14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7"/>
        <w:gridCol w:w="3511"/>
        <w:gridCol w:w="4251"/>
        <w:gridCol w:w="3881"/>
      </w:tblGrid>
      <w:tr w:rsidR="00316EDF" w:rsidRPr="007106F9" w14:paraId="024EBA68" w14:textId="60EFF9F7" w:rsidTr="00316EDF">
        <w:trPr>
          <w:cantSplit/>
          <w:trHeight w:val="706"/>
          <w:tblHeader/>
        </w:trPr>
        <w:tc>
          <w:tcPr>
            <w:tcW w:w="2767" w:type="dxa"/>
            <w:vAlign w:val="center"/>
          </w:tcPr>
          <w:p w14:paraId="7612B622" w14:textId="77777777" w:rsidR="00316EDF" w:rsidRDefault="00316EDF" w:rsidP="00316EDF">
            <w:pPr>
              <w:jc w:val="center"/>
              <w:rPr>
                <w:rFonts w:ascii="Times New Roman" w:hAnsi="Times New Roman"/>
                <w:b/>
              </w:rPr>
            </w:pPr>
            <w:r>
              <w:rPr>
                <w:rFonts w:ascii="Times New Roman" w:hAnsi="Times New Roman"/>
                <w:b/>
              </w:rPr>
              <w:t>ŞİD</w:t>
            </w:r>
          </w:p>
          <w:p w14:paraId="71E61EEE" w14:textId="6DCED255" w:rsidR="00316EDF" w:rsidRPr="00316EDF" w:rsidRDefault="00316EDF" w:rsidP="00316EDF">
            <w:pPr>
              <w:jc w:val="center"/>
              <w:rPr>
                <w:rFonts w:ascii="Times New Roman" w:hAnsi="Times New Roman"/>
                <w:b/>
              </w:rPr>
            </w:pPr>
            <w:r>
              <w:rPr>
                <w:rFonts w:ascii="Times New Roman" w:hAnsi="Times New Roman"/>
                <w:b/>
              </w:rPr>
              <w:t>Madde No</w:t>
            </w:r>
          </w:p>
        </w:tc>
        <w:tc>
          <w:tcPr>
            <w:tcW w:w="3511" w:type="dxa"/>
            <w:vAlign w:val="center"/>
          </w:tcPr>
          <w:p w14:paraId="243D7D42" w14:textId="249909CD" w:rsidR="00316EDF" w:rsidRPr="00316EDF" w:rsidRDefault="00316EDF" w:rsidP="00316EDF">
            <w:pPr>
              <w:jc w:val="center"/>
              <w:rPr>
                <w:rFonts w:ascii="Times New Roman" w:hAnsi="Times New Roman"/>
                <w:b/>
              </w:rPr>
            </w:pPr>
            <w:r>
              <w:rPr>
                <w:rFonts w:ascii="Times New Roman" w:hAnsi="Times New Roman"/>
                <w:b/>
              </w:rPr>
              <w:t>ŞİD Mevcut Metin</w:t>
            </w:r>
          </w:p>
        </w:tc>
        <w:tc>
          <w:tcPr>
            <w:tcW w:w="4251" w:type="dxa"/>
            <w:vAlign w:val="center"/>
          </w:tcPr>
          <w:p w14:paraId="65FB1CEC" w14:textId="744DC359" w:rsidR="00316EDF" w:rsidRPr="00316EDF" w:rsidRDefault="00316EDF" w:rsidP="00316EDF">
            <w:pPr>
              <w:jc w:val="center"/>
              <w:rPr>
                <w:rFonts w:ascii="Times New Roman" w:hAnsi="Times New Roman"/>
                <w:b/>
              </w:rPr>
            </w:pPr>
            <w:r>
              <w:rPr>
                <w:rFonts w:ascii="Times New Roman" w:hAnsi="Times New Roman"/>
                <w:b/>
              </w:rPr>
              <w:t>Taşıtan Tarafından Önerilen Metin</w:t>
            </w:r>
          </w:p>
        </w:tc>
        <w:tc>
          <w:tcPr>
            <w:tcW w:w="3881" w:type="dxa"/>
            <w:tcBorders>
              <w:top w:val="single" w:sz="4" w:space="0" w:color="auto"/>
              <w:bottom w:val="nil"/>
            </w:tcBorders>
            <w:shd w:val="clear" w:color="auto" w:fill="auto"/>
            <w:vAlign w:val="center"/>
          </w:tcPr>
          <w:p w14:paraId="715570C3" w14:textId="0F3C3B4A" w:rsidR="00316EDF" w:rsidRPr="00316EDF" w:rsidRDefault="00316EDF" w:rsidP="00316EDF">
            <w:pPr>
              <w:spacing w:after="160" w:line="259" w:lineRule="auto"/>
              <w:jc w:val="center"/>
              <w:rPr>
                <w:rFonts w:ascii="Times New Roman" w:hAnsi="Times New Roman"/>
                <w:b/>
              </w:rPr>
            </w:pPr>
            <w:r w:rsidRPr="007106F9">
              <w:rPr>
                <w:rFonts w:ascii="Times New Roman" w:hAnsi="Times New Roman"/>
                <w:b/>
              </w:rPr>
              <w:t>Taşıtanın Madde Gerekçesi</w:t>
            </w:r>
          </w:p>
        </w:tc>
      </w:tr>
      <w:tr w:rsidR="00316EDF" w:rsidRPr="007106F9" w14:paraId="25E91D20" w14:textId="3B337657" w:rsidTr="00316EDF">
        <w:trPr>
          <w:trHeight w:val="5975"/>
        </w:trPr>
        <w:tc>
          <w:tcPr>
            <w:tcW w:w="2767" w:type="dxa"/>
          </w:tcPr>
          <w:p w14:paraId="63DFE911" w14:textId="77777777"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b/>
                <w:bCs/>
                <w:sz w:val="22"/>
                <w:szCs w:val="22"/>
              </w:rPr>
              <w:t xml:space="preserve">BÖLÜM 2 </w:t>
            </w:r>
          </w:p>
          <w:p w14:paraId="087827F6" w14:textId="4D599F0F" w:rsidR="00316EDF" w:rsidRPr="007106F9" w:rsidRDefault="00316EDF" w:rsidP="00316EDF">
            <w:pPr>
              <w:jc w:val="both"/>
              <w:rPr>
                <w:rFonts w:ascii="Times New Roman" w:hAnsi="Times New Roman"/>
                <w:b/>
                <w:sz w:val="22"/>
                <w:szCs w:val="22"/>
              </w:rPr>
            </w:pPr>
            <w:r w:rsidRPr="007106F9">
              <w:rPr>
                <w:rFonts w:ascii="Times New Roman" w:hAnsi="Times New Roman"/>
                <w:b/>
                <w:bCs/>
                <w:sz w:val="22"/>
                <w:szCs w:val="22"/>
              </w:rPr>
              <w:t xml:space="preserve">2.1.4. ATIL KAPASİTE UYGULAMA ESASLARI </w:t>
            </w:r>
          </w:p>
        </w:tc>
        <w:tc>
          <w:tcPr>
            <w:tcW w:w="3511" w:type="dxa"/>
          </w:tcPr>
          <w:p w14:paraId="2D81F56B" w14:textId="27C5E663"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sz w:val="22"/>
                <w:szCs w:val="22"/>
              </w:rPr>
              <w:t xml:space="preserve">Taşıyıcı, teminat mekanizmasına ilişkin hususlar ve EBT altyapısını günlük Atıl Kapasite başvurularına uygun hale getirinceye kadar, halihazırda bir STS imzalamış olan Taşıtanların Atıl Kapasiteler için başvuruları, her ayın en geç 25. (yirmibeş) gününe kadar, takip eden Ayın ilk Gününden itibaren geçerli olacak şekilde yapılır. Taşıyıcı bu başvuruları 3 (üç) işgünü içinde cevaplandırır. </w:t>
            </w:r>
          </w:p>
          <w:p w14:paraId="04A1C417" w14:textId="1FBB98A3" w:rsidR="00316EDF" w:rsidRPr="007106F9" w:rsidRDefault="00316EDF" w:rsidP="00316EDF">
            <w:pPr>
              <w:jc w:val="both"/>
              <w:rPr>
                <w:rFonts w:ascii="Times New Roman" w:hAnsi="Times New Roman"/>
                <w:b/>
                <w:sz w:val="22"/>
                <w:szCs w:val="22"/>
              </w:rPr>
            </w:pPr>
          </w:p>
        </w:tc>
        <w:tc>
          <w:tcPr>
            <w:tcW w:w="4251" w:type="dxa"/>
          </w:tcPr>
          <w:p w14:paraId="5370A60A" w14:textId="0505E84E" w:rsidR="00316EDF"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sz w:val="22"/>
                <w:szCs w:val="22"/>
              </w:rPr>
              <w:t>Taşıyıcı, teminat mekanizmasına ilişkin hususlar ve EBT altyapısını günlük Atıl Kapasite başvurularına uygun hale getirinceye kadar, halihazırda bir STS imzalamış olan Taşıtanların Atıl Kapasiteler için başvuruları, her ayın en geç 25. (yirmidört) gününe kadar, takip eden Ayın ilk Gününden itibaren geçerli olacak şekilde yapılır. Taşıyıcı bu başvuruları 3 (üç) işgünü içinde cevaplandırır.</w:t>
            </w:r>
          </w:p>
          <w:p w14:paraId="4EADB22E" w14:textId="77777777" w:rsidR="00316EDF" w:rsidRPr="007106F9" w:rsidRDefault="00316EDF" w:rsidP="00316EDF">
            <w:pPr>
              <w:pStyle w:val="Default"/>
              <w:jc w:val="both"/>
              <w:rPr>
                <w:rFonts w:ascii="Times New Roman" w:hAnsi="Times New Roman" w:cs="Times New Roman"/>
                <w:sz w:val="22"/>
                <w:szCs w:val="22"/>
              </w:rPr>
            </w:pPr>
          </w:p>
          <w:p w14:paraId="20E90171" w14:textId="2EAF0328" w:rsidR="00316EDF" w:rsidRPr="007106F9" w:rsidRDefault="00316EDF" w:rsidP="00316EDF">
            <w:pPr>
              <w:jc w:val="both"/>
              <w:rPr>
                <w:rFonts w:ascii="Times New Roman" w:hAnsi="Times New Roman"/>
                <w:b/>
                <w:sz w:val="22"/>
                <w:szCs w:val="22"/>
              </w:rPr>
            </w:pPr>
            <w:r w:rsidRPr="007106F9">
              <w:rPr>
                <w:rFonts w:ascii="Times New Roman" w:hAnsi="Times New Roman"/>
                <w:color w:val="2E5395"/>
                <w:sz w:val="22"/>
                <w:szCs w:val="22"/>
              </w:rPr>
              <w:t>Madde 2.9 Rezerve Kapasiteyi Artırma Yükümlülüğü Kapsamında Taşıtanların Giriş ve Çıkış noktalarında arttırmakla yükümlü olduğu kapasite miktarı ile sınırlı olmak kaydıyla, Taşıtanlar tarafından bu maddede yapmış oldukları Atıl Kapasite başvurusundaki miktarlarının azaltılması için revize Atıl Kapasite miktar talebi ilgili ayın en geç 2.(iki) gününe kadar başvuruya ilişkin Ayın ilk Gününden itibaren geçerli olacak şekilde yapılır. Taşıyıcı bu başvuruları 3 (üç) işgünü içinde cevaplandırır.</w:t>
            </w:r>
          </w:p>
        </w:tc>
        <w:tc>
          <w:tcPr>
            <w:tcW w:w="3881" w:type="dxa"/>
          </w:tcPr>
          <w:p w14:paraId="25393612" w14:textId="77777777"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sz w:val="22"/>
                <w:szCs w:val="22"/>
              </w:rPr>
              <w:t xml:space="preserve">Taşıtanlar ŞİD kapsamında her ayın 25. Günü Atıl Kapasite Başvurusu yapmaktadır. Başvuruya ilişkin noktada 24. Gaz gününden sonra ŞİD 2.9 Rezerve Kapasiteyi Artırma Yükümlülüğüne maruz kalınması durumunda ilgili noktada ortaya çıkan ilave kapasite verimli kullanılamamakta ve Atıl Kapasite başvurusuna ilişkin herhangi bir değişiklik yapılamamaktadır. </w:t>
            </w:r>
          </w:p>
          <w:p w14:paraId="1C5A6468" w14:textId="6F0B4DFB" w:rsidR="00316EDF" w:rsidRPr="007106F9" w:rsidRDefault="00316EDF" w:rsidP="00316EDF">
            <w:pPr>
              <w:spacing w:after="240"/>
              <w:jc w:val="both"/>
              <w:rPr>
                <w:rFonts w:ascii="Times New Roman" w:eastAsia="Times New Roman" w:hAnsi="Times New Roman"/>
                <w:sz w:val="22"/>
                <w:szCs w:val="22"/>
                <w:lang w:eastAsia="tr-TR"/>
              </w:rPr>
            </w:pPr>
          </w:p>
        </w:tc>
      </w:tr>
      <w:tr w:rsidR="00316EDF" w:rsidRPr="007106F9" w14:paraId="3C42E508" w14:textId="4F106056" w:rsidTr="00316EDF">
        <w:trPr>
          <w:trHeight w:val="423"/>
        </w:trPr>
        <w:tc>
          <w:tcPr>
            <w:tcW w:w="2767" w:type="dxa"/>
          </w:tcPr>
          <w:p w14:paraId="6A38E3B0" w14:textId="28FF9DF6" w:rsidR="00316EDF" w:rsidRPr="007106F9" w:rsidRDefault="00316EDF" w:rsidP="00316EDF">
            <w:pPr>
              <w:pStyle w:val="Default"/>
              <w:jc w:val="both"/>
              <w:rPr>
                <w:rFonts w:ascii="Times New Roman" w:hAnsi="Times New Roman" w:cs="Times New Roman"/>
                <w:b/>
                <w:bCs/>
                <w:sz w:val="22"/>
                <w:szCs w:val="22"/>
              </w:rPr>
            </w:pPr>
            <w:r w:rsidRPr="007106F9">
              <w:rPr>
                <w:rFonts w:ascii="Times New Roman" w:hAnsi="Times New Roman" w:cs="Times New Roman"/>
                <w:b/>
                <w:bCs/>
                <w:sz w:val="22"/>
                <w:szCs w:val="22"/>
              </w:rPr>
              <w:t>BÖLÜM 2</w:t>
            </w:r>
          </w:p>
          <w:p w14:paraId="7B0F1CA1" w14:textId="0EBCCCFC" w:rsidR="00316EDF" w:rsidRPr="007106F9" w:rsidRDefault="00316EDF" w:rsidP="00316EDF">
            <w:pPr>
              <w:jc w:val="both"/>
              <w:rPr>
                <w:rFonts w:ascii="Times New Roman" w:hAnsi="Times New Roman"/>
                <w:b/>
                <w:sz w:val="22"/>
                <w:szCs w:val="22"/>
              </w:rPr>
            </w:pPr>
            <w:r w:rsidRPr="007106F9">
              <w:rPr>
                <w:rFonts w:ascii="Times New Roman" w:hAnsi="Times New Roman"/>
                <w:b/>
                <w:bCs/>
                <w:sz w:val="22"/>
                <w:szCs w:val="22"/>
              </w:rPr>
              <w:t xml:space="preserve">2.6 KAPASİTE DEVRİ VE AKTARIMI İÇİN BAŞVURU ESASLARI </w:t>
            </w:r>
          </w:p>
        </w:tc>
        <w:tc>
          <w:tcPr>
            <w:tcW w:w="3511" w:type="dxa"/>
            <w:vAlign w:val="center"/>
          </w:tcPr>
          <w:p w14:paraId="22607155" w14:textId="5254D892"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sz w:val="22"/>
                <w:szCs w:val="22"/>
              </w:rPr>
              <w:t xml:space="preserve">Kapasite devri ve Tedarikçi değişimi nedeni ile kapasite devri ile ilgili taleplerin, devrin öngörüldüğü Aydan bir önceki ayın 21’ine kadar; kapasite aktarımı ile ilgili taleplerin aktarımın öngörüldüğü Aydan bir önceki ayın 23’üne kadar Taşıtanlar tarafından Taşıyıcıya bildirilmesi gereklidir. Taşıyıcı devir ve aktarım talepleri için başvuru tarihi sonrası üç gün içerisinde cevap verir. Kapasite </w:t>
            </w:r>
            <w:r w:rsidRPr="007106F9">
              <w:rPr>
                <w:rFonts w:ascii="Times New Roman" w:hAnsi="Times New Roman" w:cs="Times New Roman"/>
                <w:sz w:val="22"/>
                <w:szCs w:val="22"/>
              </w:rPr>
              <w:lastRenderedPageBreak/>
              <w:t>devirleri ve aktarımlarının Ayın ilk Gününden itibaren başlaması esastır.</w:t>
            </w:r>
          </w:p>
        </w:tc>
        <w:tc>
          <w:tcPr>
            <w:tcW w:w="4251" w:type="dxa"/>
          </w:tcPr>
          <w:p w14:paraId="5C61E1AB" w14:textId="5125B598"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sz w:val="22"/>
                <w:szCs w:val="22"/>
              </w:rPr>
              <w:lastRenderedPageBreak/>
              <w:t>Kapasite devri ve Tedarikçi değişimi nedeni ile kapasite devri ile ilgili taleplerin, devrin öngörüldüğü Aydan bir önceki ayın 21’ine kadar; kapasite aktarımı ile ilgili taleplerin aktarımın öngörüldüğü Aydan bir önceki ayın 23’sine kadar Taşıtanlar tarafından Taşıyıcıya bildirilmesi gereklidir. Taşıyıcı devir ve aktarım talepleri için başvuru tarihi sonrası üç gün içerisinde cevap verir. Kapasite devirleri ve aktarımlarının Ayın ilk Gününden itibaren başlaması esastır.</w:t>
            </w:r>
          </w:p>
          <w:p w14:paraId="25873421" w14:textId="77777777" w:rsidR="00316EDF" w:rsidRPr="007106F9" w:rsidRDefault="00316EDF" w:rsidP="00316EDF">
            <w:pPr>
              <w:pStyle w:val="Default"/>
              <w:jc w:val="both"/>
              <w:rPr>
                <w:rFonts w:ascii="Times New Roman" w:hAnsi="Times New Roman" w:cs="Times New Roman"/>
                <w:color w:val="2E5395"/>
                <w:sz w:val="22"/>
                <w:szCs w:val="22"/>
              </w:rPr>
            </w:pPr>
          </w:p>
          <w:p w14:paraId="726B1A6E" w14:textId="5088A74E"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color w:val="2E5395"/>
                <w:sz w:val="22"/>
                <w:szCs w:val="22"/>
              </w:rPr>
              <w:t xml:space="preserve">Madde 2.9 Rezerve Kapasiteyi Artırma Yükümlülüğü Kapsamında Taşıtanların Giriş ve Çıkış noktalarında arttırmakla yükümlü olduğu kapasite miktarı ile sınırlı olmak kaydıyla, Taşıtanlar tarafından bu maddede yapmış oldukları Kapasite Aktarım başvurusundaki Kapasite Aktarım Miktarı ve/veya Kapasite Aktarılacak Noktaya ilişkin revize talebi ilgili ayın en geç 2.(iki) gününe kadar başvuruya ilişkin Ayın ilk Gününden itibaren geçerli olacak şekilde yapılır. Taşıyıcı bu başvuruları 3 (üç) işgünü içinde cevaplandırır. </w:t>
            </w:r>
          </w:p>
          <w:p w14:paraId="68E88BAA" w14:textId="0FF1C89B" w:rsidR="00316EDF" w:rsidRPr="007106F9" w:rsidRDefault="00316EDF" w:rsidP="00316EDF">
            <w:pPr>
              <w:spacing w:after="240"/>
              <w:jc w:val="both"/>
              <w:rPr>
                <w:rFonts w:ascii="Times New Roman" w:eastAsia="Times New Roman" w:hAnsi="Times New Roman"/>
                <w:sz w:val="22"/>
                <w:szCs w:val="22"/>
                <w:lang w:eastAsia="tr-TR"/>
              </w:rPr>
            </w:pPr>
          </w:p>
        </w:tc>
        <w:tc>
          <w:tcPr>
            <w:tcW w:w="3881" w:type="dxa"/>
          </w:tcPr>
          <w:p w14:paraId="429817CB" w14:textId="0DA1B6E3"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sz w:val="22"/>
                <w:szCs w:val="22"/>
              </w:rPr>
              <w:lastRenderedPageBreak/>
              <w:t>Taşıtanlar ŞİD kapsamında her ayın 23. Günü Kapasite Aktarım Başvurusu yapmaktadır. Başvuruya ilişkin noktada 22. Gaz gününden sonra ŞİD 2.9 Rezerve Kapasiteyi Artırma Yükümlülüğüne maruz kalınması durumunda ilgili noktada ortaya çıkan ilave kapasite verimli kullanılamamakta ve Kapasite Aktarım başvurusuna ilişkin herhangi bir değişiklik yapılamamaktadır.</w:t>
            </w:r>
          </w:p>
        </w:tc>
      </w:tr>
      <w:tr w:rsidR="00316EDF" w:rsidRPr="007106F9" w14:paraId="259E63E5" w14:textId="0F7828B6" w:rsidTr="00316EDF">
        <w:trPr>
          <w:trHeight w:val="423"/>
        </w:trPr>
        <w:tc>
          <w:tcPr>
            <w:tcW w:w="2767" w:type="dxa"/>
          </w:tcPr>
          <w:p w14:paraId="175A799A" w14:textId="715BB87C" w:rsidR="00316EDF" w:rsidRPr="007106F9" w:rsidRDefault="00316EDF" w:rsidP="00316EDF">
            <w:pPr>
              <w:pStyle w:val="Default"/>
              <w:jc w:val="both"/>
              <w:rPr>
                <w:rFonts w:ascii="Times New Roman" w:hAnsi="Times New Roman" w:cs="Times New Roman"/>
                <w:b/>
                <w:bCs/>
                <w:sz w:val="22"/>
                <w:szCs w:val="22"/>
              </w:rPr>
            </w:pPr>
            <w:r w:rsidRPr="007106F9">
              <w:rPr>
                <w:rFonts w:ascii="Times New Roman" w:hAnsi="Times New Roman" w:cs="Times New Roman"/>
                <w:b/>
                <w:bCs/>
                <w:sz w:val="22"/>
                <w:szCs w:val="22"/>
              </w:rPr>
              <w:t>BÖLÜM 7 TAŞIMA MİKTARI BİLDİRİMİ VE PROGRAM</w:t>
            </w:r>
          </w:p>
          <w:p w14:paraId="0DE72FE4" w14:textId="268A0124"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b/>
                <w:bCs/>
                <w:sz w:val="22"/>
                <w:szCs w:val="22"/>
              </w:rPr>
              <w:t xml:space="preserve">7.2.2.1 </w:t>
            </w:r>
          </w:p>
          <w:p w14:paraId="3769FD86" w14:textId="4CC8B2EA" w:rsidR="00316EDF" w:rsidRPr="007106F9" w:rsidRDefault="00316EDF" w:rsidP="00316EDF">
            <w:pPr>
              <w:jc w:val="both"/>
              <w:rPr>
                <w:rFonts w:ascii="Times New Roman" w:hAnsi="Times New Roman"/>
                <w:b/>
                <w:sz w:val="22"/>
                <w:szCs w:val="22"/>
              </w:rPr>
            </w:pPr>
          </w:p>
        </w:tc>
        <w:tc>
          <w:tcPr>
            <w:tcW w:w="3511" w:type="dxa"/>
          </w:tcPr>
          <w:p w14:paraId="4F663E73" w14:textId="77777777"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sz w:val="22"/>
                <w:szCs w:val="22"/>
              </w:rPr>
              <w:t xml:space="preserve">Taşıtanlar bir gaz gününe dair fiziki giriş ve fiziki çıkış noktalarında yapmış oldukları TMB’lerini 7.2.1.1’de belirtilen TMB onay saatinden G saat 15:45’e kadar değiştirebilirler. </w:t>
            </w:r>
          </w:p>
          <w:p w14:paraId="782FDF62" w14:textId="32E315D1" w:rsidR="00316EDF" w:rsidRPr="007106F9" w:rsidRDefault="00316EDF" w:rsidP="00316EDF">
            <w:pPr>
              <w:jc w:val="both"/>
              <w:rPr>
                <w:rFonts w:ascii="Times New Roman" w:hAnsi="Times New Roman"/>
                <w:b/>
                <w:sz w:val="22"/>
                <w:szCs w:val="22"/>
              </w:rPr>
            </w:pPr>
          </w:p>
        </w:tc>
        <w:tc>
          <w:tcPr>
            <w:tcW w:w="4251" w:type="dxa"/>
          </w:tcPr>
          <w:p w14:paraId="1FDD0142" w14:textId="77777777"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sz w:val="22"/>
                <w:szCs w:val="22"/>
              </w:rPr>
              <w:t xml:space="preserve">Taşıtanlar bir gaz gününe dair fiziki giriş ve fiziki çıkış noktalarında ve transfer giriş ve transfer </w:t>
            </w:r>
            <w:r w:rsidRPr="007106F9">
              <w:rPr>
                <w:rFonts w:ascii="Times New Roman" w:hAnsi="Times New Roman" w:cs="Times New Roman"/>
                <w:color w:val="2E5395"/>
                <w:sz w:val="22"/>
                <w:szCs w:val="22"/>
              </w:rPr>
              <w:t xml:space="preserve">çıkış noktalarında yapmış oldukları TMB’lerini </w:t>
            </w:r>
            <w:r w:rsidRPr="007106F9">
              <w:rPr>
                <w:rFonts w:ascii="Times New Roman" w:hAnsi="Times New Roman" w:cs="Times New Roman"/>
                <w:sz w:val="22"/>
                <w:szCs w:val="22"/>
              </w:rPr>
              <w:t xml:space="preserve">7.2.1.1’de belirtilen TMB onay saatinden G saat 15:45’e kadar değiştirebilirler. </w:t>
            </w:r>
          </w:p>
          <w:p w14:paraId="5F99AD68" w14:textId="1BDE1BF4" w:rsidR="00316EDF" w:rsidRPr="007106F9" w:rsidRDefault="00316EDF" w:rsidP="00316EDF">
            <w:pPr>
              <w:jc w:val="both"/>
              <w:rPr>
                <w:rFonts w:ascii="Times New Roman" w:hAnsi="Times New Roman"/>
                <w:b/>
                <w:bCs/>
                <w:sz w:val="22"/>
                <w:szCs w:val="22"/>
              </w:rPr>
            </w:pPr>
          </w:p>
        </w:tc>
        <w:tc>
          <w:tcPr>
            <w:tcW w:w="3881" w:type="dxa"/>
          </w:tcPr>
          <w:p w14:paraId="1233558A" w14:textId="77777777"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sz w:val="22"/>
                <w:szCs w:val="22"/>
              </w:rPr>
              <w:t xml:space="preserve">Fiziki bir noktada Taşıtanlara tanınan TMDB hakkının Transfer giriş ve çıkış noktalarında da G günü için tanımanması Taşıtanların dengesizliklerini yönetimi açısından gerekli görülmekte ve önerilmektedir. </w:t>
            </w:r>
          </w:p>
          <w:p w14:paraId="233078A3" w14:textId="07B3E829" w:rsidR="00316EDF" w:rsidRPr="007106F9" w:rsidRDefault="00316EDF" w:rsidP="00316EDF">
            <w:pPr>
              <w:jc w:val="both"/>
              <w:rPr>
                <w:rFonts w:ascii="Times New Roman" w:hAnsi="Times New Roman"/>
                <w:color w:val="5B9BD5" w:themeColor="accent1"/>
                <w:sz w:val="22"/>
                <w:szCs w:val="22"/>
              </w:rPr>
            </w:pPr>
          </w:p>
        </w:tc>
      </w:tr>
      <w:tr w:rsidR="00316EDF" w:rsidRPr="007106F9" w14:paraId="636587FE" w14:textId="1A5357D5" w:rsidTr="00316EDF">
        <w:trPr>
          <w:trHeight w:val="174"/>
        </w:trPr>
        <w:tc>
          <w:tcPr>
            <w:tcW w:w="2767" w:type="dxa"/>
            <w:shd w:val="clear" w:color="auto" w:fill="FFFFFF"/>
          </w:tcPr>
          <w:p w14:paraId="637C8630" w14:textId="77777777"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b/>
                <w:bCs/>
                <w:sz w:val="22"/>
                <w:szCs w:val="22"/>
              </w:rPr>
              <w:t xml:space="preserve">BÖLÜM 9 </w:t>
            </w:r>
          </w:p>
          <w:p w14:paraId="3A8FE883" w14:textId="74410198" w:rsidR="00316EDF" w:rsidRPr="007106F9" w:rsidRDefault="00316EDF" w:rsidP="00316EDF">
            <w:pPr>
              <w:jc w:val="both"/>
              <w:rPr>
                <w:rFonts w:ascii="Times New Roman" w:hAnsi="Times New Roman"/>
                <w:b/>
                <w:sz w:val="22"/>
                <w:szCs w:val="22"/>
              </w:rPr>
            </w:pPr>
            <w:r w:rsidRPr="007106F9">
              <w:rPr>
                <w:rFonts w:ascii="Times New Roman" w:hAnsi="Times New Roman"/>
                <w:b/>
                <w:bCs/>
                <w:sz w:val="22"/>
                <w:szCs w:val="22"/>
              </w:rPr>
              <w:t xml:space="preserve">TAHSİSAT 9.2.2. Çoklu Giriş ve Çıkış Noktası </w:t>
            </w:r>
          </w:p>
        </w:tc>
        <w:tc>
          <w:tcPr>
            <w:tcW w:w="3511" w:type="dxa"/>
            <w:tcBorders>
              <w:bottom w:val="single" w:sz="4" w:space="0" w:color="auto"/>
            </w:tcBorders>
            <w:vAlign w:val="center"/>
          </w:tcPr>
          <w:p w14:paraId="14F15CC0" w14:textId="77777777"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sz w:val="22"/>
                <w:szCs w:val="22"/>
              </w:rPr>
              <w:t xml:space="preserve">İlgili Giriş Noktasında ölçülen miktar tüm Taşıtanların Programından fazla olması durumunda fazla miktar Taşıtanların programları ile orantılı olarak tahsis edilir. </w:t>
            </w:r>
          </w:p>
          <w:p w14:paraId="3DD7CBD2" w14:textId="39C64579" w:rsidR="00316EDF" w:rsidRPr="007106F9" w:rsidRDefault="00316EDF" w:rsidP="00316EDF">
            <w:pPr>
              <w:jc w:val="both"/>
              <w:rPr>
                <w:rFonts w:ascii="Times New Roman" w:hAnsi="Times New Roman"/>
                <w:b/>
                <w:sz w:val="22"/>
                <w:szCs w:val="22"/>
              </w:rPr>
            </w:pPr>
          </w:p>
        </w:tc>
        <w:tc>
          <w:tcPr>
            <w:tcW w:w="4251" w:type="dxa"/>
            <w:shd w:val="clear" w:color="auto" w:fill="FFFFFF"/>
          </w:tcPr>
          <w:p w14:paraId="3844E531" w14:textId="77777777"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sz w:val="22"/>
                <w:szCs w:val="22"/>
              </w:rPr>
              <w:t xml:space="preserve">İlgili Giriş Noktasında ölçülen miktar tüm Taşıtanların Programından fazla olması durumunda fazla miktar Taşıtanların programları ile orantılı olarak tahsis edilir. </w:t>
            </w:r>
          </w:p>
          <w:p w14:paraId="1AB31627" w14:textId="56FB3E79" w:rsidR="00316EDF" w:rsidRPr="007106F9" w:rsidRDefault="00316EDF" w:rsidP="00316EDF">
            <w:pPr>
              <w:spacing w:before="240" w:after="240"/>
              <w:jc w:val="both"/>
              <w:rPr>
                <w:rFonts w:ascii="Times New Roman" w:hAnsi="Times New Roman"/>
                <w:sz w:val="22"/>
                <w:szCs w:val="22"/>
              </w:rPr>
            </w:pPr>
            <w:r w:rsidRPr="007106F9">
              <w:rPr>
                <w:rFonts w:ascii="Times New Roman" w:hAnsi="Times New Roman"/>
                <w:color w:val="2E5395"/>
                <w:sz w:val="22"/>
                <w:szCs w:val="22"/>
              </w:rPr>
              <w:t xml:space="preserve">İlgili Giriş Noktası’nda Tedarik dönemi sona erdikten sonra Taşıtanın talebi üzerine ilgili döneme ait EBT’de yayınlanan nihai Tahsisat verileri Taşıyıcı tarafından 3 iş günü içinde gün bazındaki teslim miktarlarını içerecek şekilde Taşıtan ile yazılı olarak paylaşılır. </w:t>
            </w:r>
          </w:p>
        </w:tc>
        <w:tc>
          <w:tcPr>
            <w:tcW w:w="3881" w:type="dxa"/>
            <w:shd w:val="clear" w:color="auto" w:fill="FFFFFF"/>
          </w:tcPr>
          <w:p w14:paraId="5E7A2441" w14:textId="77777777"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sz w:val="22"/>
                <w:szCs w:val="22"/>
              </w:rPr>
              <w:t xml:space="preserve">Taşıtanın ithalat faaliyetinden doğan Gümrük ve vergi beyannameleri sebebiyle aylık miktar raporunu belirtilen sürede alması yüksek önem arz etmektedir. Halihazırdaki uygulamanın ŞİD’e derc edilmesi amacıyla öneri sunulmuştur. </w:t>
            </w:r>
          </w:p>
          <w:p w14:paraId="7073DD25" w14:textId="4A84997E" w:rsidR="00316EDF" w:rsidRPr="007106F9" w:rsidRDefault="00316EDF" w:rsidP="00316EDF">
            <w:pPr>
              <w:spacing w:before="240" w:after="240"/>
              <w:jc w:val="both"/>
              <w:rPr>
                <w:rFonts w:ascii="Times New Roman" w:hAnsi="Times New Roman"/>
                <w:sz w:val="22"/>
                <w:szCs w:val="22"/>
              </w:rPr>
            </w:pPr>
          </w:p>
        </w:tc>
      </w:tr>
      <w:tr w:rsidR="00316EDF" w:rsidRPr="007106F9" w14:paraId="2DCDCED2" w14:textId="38F3D087" w:rsidTr="00316EDF">
        <w:trPr>
          <w:trHeight w:val="1306"/>
        </w:trPr>
        <w:tc>
          <w:tcPr>
            <w:tcW w:w="2767" w:type="dxa"/>
            <w:tcBorders>
              <w:bottom w:val="nil"/>
            </w:tcBorders>
            <w:shd w:val="clear" w:color="auto" w:fill="FFFFFF"/>
          </w:tcPr>
          <w:p w14:paraId="039639A2" w14:textId="77777777"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b/>
                <w:bCs/>
                <w:sz w:val="22"/>
                <w:szCs w:val="22"/>
              </w:rPr>
              <w:lastRenderedPageBreak/>
              <w:t xml:space="preserve">BÖLÜM 11 </w:t>
            </w:r>
          </w:p>
          <w:p w14:paraId="483A56D4" w14:textId="32D1B087" w:rsidR="00316EDF" w:rsidRPr="007106F9" w:rsidRDefault="00316EDF" w:rsidP="00316EDF">
            <w:pPr>
              <w:jc w:val="both"/>
              <w:rPr>
                <w:rFonts w:ascii="Times New Roman" w:hAnsi="Times New Roman"/>
                <w:b/>
                <w:bCs/>
                <w:sz w:val="22"/>
                <w:szCs w:val="22"/>
              </w:rPr>
            </w:pPr>
            <w:r w:rsidRPr="007106F9">
              <w:rPr>
                <w:rFonts w:ascii="Times New Roman" w:hAnsi="Times New Roman"/>
                <w:b/>
                <w:bCs/>
                <w:sz w:val="22"/>
                <w:szCs w:val="22"/>
              </w:rPr>
              <w:t xml:space="preserve">11.2.1 Basınç </w:t>
            </w:r>
          </w:p>
        </w:tc>
        <w:tc>
          <w:tcPr>
            <w:tcW w:w="3511" w:type="dxa"/>
            <w:tcBorders>
              <w:bottom w:val="nil"/>
            </w:tcBorders>
          </w:tcPr>
          <w:p w14:paraId="4484B721" w14:textId="77777777"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sz w:val="22"/>
                <w:szCs w:val="22"/>
              </w:rPr>
              <w:t xml:space="preserve">Doğal gazın Çıkış Noktasındaki azami ve Asgari Teslim Basıncı STS’de yer alacaktır. Taşıyıcı STS’de belirtilen Asgari Teslim Basıncını sağlamak ve azami basıncı aşmamakla yükümlüdür. </w:t>
            </w:r>
          </w:p>
          <w:p w14:paraId="0121EF5E" w14:textId="04AB521A" w:rsidR="00316EDF" w:rsidRPr="007106F9" w:rsidRDefault="00316EDF" w:rsidP="00316EDF">
            <w:pPr>
              <w:jc w:val="both"/>
              <w:rPr>
                <w:rFonts w:ascii="Times New Roman" w:eastAsia="Times New Roman" w:hAnsi="Times New Roman"/>
                <w:sz w:val="22"/>
                <w:szCs w:val="22"/>
                <w:lang w:eastAsia="tr-TR"/>
              </w:rPr>
            </w:pPr>
          </w:p>
        </w:tc>
        <w:tc>
          <w:tcPr>
            <w:tcW w:w="4251" w:type="dxa"/>
            <w:tcBorders>
              <w:bottom w:val="nil"/>
            </w:tcBorders>
            <w:shd w:val="clear" w:color="auto" w:fill="FFFFFF"/>
            <w:vAlign w:val="center"/>
          </w:tcPr>
          <w:p w14:paraId="7550770F" w14:textId="77777777" w:rsidR="00316EDF" w:rsidRPr="007106F9" w:rsidRDefault="00316EDF" w:rsidP="00316EDF">
            <w:pPr>
              <w:pStyle w:val="Default"/>
              <w:jc w:val="both"/>
              <w:rPr>
                <w:rFonts w:ascii="Times New Roman" w:hAnsi="Times New Roman" w:cs="Times New Roman"/>
                <w:color w:val="2E5395"/>
                <w:sz w:val="22"/>
                <w:szCs w:val="22"/>
              </w:rPr>
            </w:pPr>
            <w:r w:rsidRPr="007106F9">
              <w:rPr>
                <w:rFonts w:ascii="Times New Roman" w:hAnsi="Times New Roman" w:cs="Times New Roman"/>
                <w:sz w:val="22"/>
                <w:szCs w:val="22"/>
              </w:rPr>
              <w:t xml:space="preserve">Doğal gazın Çıkış Noktasındaki azami ve Asgari Teslim Basıncı STS’de yer alacaktır. Taşıyıcı STS’de belirtilen Asgari Teslim Basıncını sağlamak ve azami basıncı aşmamakla yükümlüdür. Asgari Teslim Basıncı Taşıtanın </w:t>
            </w:r>
            <w:r w:rsidRPr="007106F9">
              <w:rPr>
                <w:rFonts w:ascii="Times New Roman" w:hAnsi="Times New Roman" w:cs="Times New Roman"/>
                <w:color w:val="2E5395"/>
                <w:sz w:val="22"/>
                <w:szCs w:val="22"/>
              </w:rPr>
              <w:t xml:space="preserve">ilgili fiziki çıkış noktasında tedarik sağladığı Son Kullanıcıya ait tesisin güvenli ve stabil bir şekilde çalışmasına elverişli olan basınç talebi değerlendirilerek belirlenecektir. Değerlendirme neticesinde ortaya çıkması muhtemel yatırım maliyetleri Son Kullanıcı tarafından karşılanacaktır. </w:t>
            </w:r>
          </w:p>
          <w:p w14:paraId="0DE88F4A" w14:textId="49094BBC" w:rsidR="00316EDF" w:rsidRPr="007106F9" w:rsidRDefault="00316EDF" w:rsidP="00316EDF">
            <w:pPr>
              <w:jc w:val="both"/>
              <w:rPr>
                <w:rFonts w:ascii="Times New Roman" w:hAnsi="Times New Roman"/>
                <w:color w:val="0070C0"/>
                <w:sz w:val="22"/>
                <w:szCs w:val="22"/>
              </w:rPr>
            </w:pPr>
          </w:p>
        </w:tc>
        <w:tc>
          <w:tcPr>
            <w:tcW w:w="3881" w:type="dxa"/>
            <w:tcBorders>
              <w:bottom w:val="nil"/>
            </w:tcBorders>
            <w:shd w:val="clear" w:color="auto" w:fill="FFFFFF"/>
          </w:tcPr>
          <w:p w14:paraId="5DDCA8AF" w14:textId="77777777" w:rsidR="00316EDF" w:rsidRPr="007106F9" w:rsidRDefault="00316EDF" w:rsidP="00316EDF">
            <w:pPr>
              <w:pStyle w:val="Default"/>
              <w:jc w:val="both"/>
              <w:rPr>
                <w:rFonts w:ascii="Times New Roman" w:hAnsi="Times New Roman" w:cs="Times New Roman"/>
                <w:sz w:val="22"/>
                <w:szCs w:val="22"/>
              </w:rPr>
            </w:pPr>
            <w:r w:rsidRPr="007106F9">
              <w:rPr>
                <w:rFonts w:ascii="Times New Roman" w:hAnsi="Times New Roman" w:cs="Times New Roman"/>
                <w:sz w:val="22"/>
                <w:szCs w:val="22"/>
              </w:rPr>
              <w:t xml:space="preserve">Taşıtanın, ilgili fiziki çıkış noktasında tedarik sağladığı Son Kullanıcıya ait tesisin güvenli ve stabil şekilde çalışmasına elverişli olan basınç talebinin değerlendirilerek belirlenebilmesi önerilmektedir. </w:t>
            </w:r>
          </w:p>
          <w:p w14:paraId="68553EE4" w14:textId="0664186A" w:rsidR="00316EDF" w:rsidRPr="007106F9" w:rsidRDefault="00316EDF" w:rsidP="00316EDF">
            <w:pPr>
              <w:jc w:val="both"/>
              <w:rPr>
                <w:rFonts w:ascii="Times New Roman" w:hAnsi="Times New Roman"/>
                <w:sz w:val="22"/>
                <w:szCs w:val="22"/>
              </w:rPr>
            </w:pPr>
          </w:p>
        </w:tc>
      </w:tr>
      <w:tr w:rsidR="00316EDF" w:rsidRPr="007106F9" w14:paraId="08A096FA" w14:textId="4737A320" w:rsidTr="00316EDF">
        <w:trPr>
          <w:trHeight w:val="61"/>
        </w:trPr>
        <w:tc>
          <w:tcPr>
            <w:tcW w:w="2767" w:type="dxa"/>
            <w:tcBorders>
              <w:top w:val="nil"/>
              <w:right w:val="single" w:sz="4" w:space="0" w:color="auto"/>
            </w:tcBorders>
            <w:shd w:val="clear" w:color="auto" w:fill="FFFFFF"/>
            <w:vAlign w:val="center"/>
          </w:tcPr>
          <w:p w14:paraId="4B841176" w14:textId="77777777" w:rsidR="00316EDF" w:rsidRPr="007106F9" w:rsidRDefault="00316EDF" w:rsidP="00316EDF">
            <w:pPr>
              <w:spacing w:after="240"/>
              <w:jc w:val="both"/>
              <w:rPr>
                <w:rFonts w:ascii="Times New Roman" w:hAnsi="Times New Roman"/>
                <w:b/>
                <w:bCs/>
                <w:sz w:val="22"/>
                <w:szCs w:val="22"/>
              </w:rPr>
            </w:pPr>
          </w:p>
        </w:tc>
        <w:tc>
          <w:tcPr>
            <w:tcW w:w="3511" w:type="dxa"/>
            <w:tcBorders>
              <w:top w:val="nil"/>
              <w:left w:val="single" w:sz="4" w:space="0" w:color="auto"/>
              <w:right w:val="single" w:sz="4" w:space="0" w:color="auto"/>
            </w:tcBorders>
            <w:vAlign w:val="center"/>
          </w:tcPr>
          <w:p w14:paraId="249EC2C8" w14:textId="77777777" w:rsidR="00316EDF" w:rsidRPr="007106F9" w:rsidRDefault="00316EDF" w:rsidP="00316EDF">
            <w:pPr>
              <w:jc w:val="both"/>
              <w:rPr>
                <w:rFonts w:ascii="Times New Roman" w:hAnsi="Times New Roman"/>
                <w:b/>
                <w:sz w:val="22"/>
                <w:szCs w:val="22"/>
              </w:rPr>
            </w:pPr>
          </w:p>
        </w:tc>
        <w:tc>
          <w:tcPr>
            <w:tcW w:w="4251" w:type="dxa"/>
            <w:tcBorders>
              <w:top w:val="nil"/>
              <w:left w:val="single" w:sz="4" w:space="0" w:color="auto"/>
            </w:tcBorders>
            <w:shd w:val="clear" w:color="auto" w:fill="FFFFFF"/>
            <w:vAlign w:val="center"/>
          </w:tcPr>
          <w:p w14:paraId="79A34BD1" w14:textId="77777777" w:rsidR="00316EDF" w:rsidRPr="007106F9" w:rsidRDefault="00316EDF" w:rsidP="00316EDF">
            <w:pPr>
              <w:jc w:val="both"/>
              <w:rPr>
                <w:rFonts w:ascii="Times New Roman" w:hAnsi="Times New Roman"/>
                <w:b/>
                <w:sz w:val="22"/>
                <w:szCs w:val="22"/>
              </w:rPr>
            </w:pPr>
          </w:p>
        </w:tc>
        <w:tc>
          <w:tcPr>
            <w:tcW w:w="3881" w:type="dxa"/>
            <w:tcBorders>
              <w:top w:val="nil"/>
              <w:left w:val="single" w:sz="4" w:space="0" w:color="auto"/>
              <w:right w:val="single" w:sz="4" w:space="0" w:color="auto"/>
            </w:tcBorders>
            <w:shd w:val="clear" w:color="auto" w:fill="FFFFFF"/>
          </w:tcPr>
          <w:p w14:paraId="16D076E2" w14:textId="77777777" w:rsidR="00316EDF" w:rsidRPr="007106F9" w:rsidRDefault="00316EDF" w:rsidP="00316EDF">
            <w:pPr>
              <w:jc w:val="both"/>
              <w:rPr>
                <w:rFonts w:ascii="Times New Roman" w:hAnsi="Times New Roman"/>
                <w:b/>
                <w:sz w:val="22"/>
                <w:szCs w:val="22"/>
              </w:rPr>
            </w:pPr>
          </w:p>
        </w:tc>
      </w:tr>
    </w:tbl>
    <w:p w14:paraId="23569226" w14:textId="77777777" w:rsidR="002B46BC" w:rsidRPr="007B5115" w:rsidRDefault="002B46BC" w:rsidP="001838B0">
      <w:pPr>
        <w:rPr>
          <w:rFonts w:asciiTheme="minorHAnsi" w:hAnsiTheme="minorHAnsi" w:cstheme="minorHAnsi"/>
        </w:rPr>
      </w:pPr>
    </w:p>
    <w:sectPr w:rsidR="002B46BC" w:rsidRPr="007B5115" w:rsidSect="00085B4B">
      <w:headerReference w:type="even" r:id="rId8"/>
      <w:headerReference w:type="default" r:id="rId9"/>
      <w:footerReference w:type="even" r:id="rId10"/>
      <w:footerReference w:type="default" r:id="rId11"/>
      <w:headerReference w:type="first" r:id="rId12"/>
      <w:footerReference w:type="first" r:id="rId13"/>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3E709" w14:textId="77777777" w:rsidR="00C434FA" w:rsidRDefault="00C434FA" w:rsidP="00590832">
      <w:r>
        <w:separator/>
      </w:r>
    </w:p>
  </w:endnote>
  <w:endnote w:type="continuationSeparator" w:id="0">
    <w:p w14:paraId="24F30B24" w14:textId="77777777" w:rsidR="00C434FA" w:rsidRDefault="00C434FA" w:rsidP="00590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A7BBD" w14:textId="369B2817" w:rsidR="00590832" w:rsidRDefault="00590832">
    <w:pPr>
      <w:pStyle w:val="AltBilgi"/>
    </w:pPr>
    <w:r>
      <w:rPr>
        <w:noProof/>
        <w:lang w:val="tr-TR" w:eastAsia="tr-TR"/>
        <w14:ligatures w14:val="standardContextual"/>
      </w:rPr>
      <mc:AlternateContent>
        <mc:Choice Requires="wps">
          <w:drawing>
            <wp:anchor distT="0" distB="0" distL="0" distR="0" simplePos="0" relativeHeight="251659264" behindDoc="0" locked="0" layoutInCell="1" allowOverlap="1" wp14:anchorId="795DD88A" wp14:editId="1A43369C">
              <wp:simplePos x="635" y="635"/>
              <wp:positionH relativeFrom="page">
                <wp:align>left</wp:align>
              </wp:positionH>
              <wp:positionV relativeFrom="page">
                <wp:align>bottom</wp:align>
              </wp:positionV>
              <wp:extent cx="5364480" cy="345440"/>
              <wp:effectExtent l="0" t="0" r="7620" b="0"/>
              <wp:wrapNone/>
              <wp:docPr id="1847960821" name="Metin Kutusu 2" descr="Hizmete Özel (Dış Taraflar) &amp; Kişisel Veri İçermez - Confidential External Parties &amp; No Personal Dat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364480" cy="345440"/>
                      </a:xfrm>
                      <a:prstGeom prst="rect">
                        <a:avLst/>
                      </a:prstGeom>
                      <a:noFill/>
                      <a:ln>
                        <a:noFill/>
                      </a:ln>
                    </wps:spPr>
                    <wps:txbx>
                      <w:txbxContent>
                        <w:p w14:paraId="7F499C55" w14:textId="45FF74EB" w:rsidR="00590832" w:rsidRPr="00590832" w:rsidRDefault="00590832" w:rsidP="00590832">
                          <w:pPr>
                            <w:rPr>
                              <w:rFonts w:cs="Calibri"/>
                              <w:noProof/>
                              <w:color w:val="000000"/>
                              <w:sz w:val="20"/>
                              <w:szCs w:val="20"/>
                            </w:rPr>
                          </w:pPr>
                          <w:r w:rsidRPr="00590832">
                            <w:rPr>
                              <w:rFonts w:cs="Calibri"/>
                              <w:noProof/>
                              <w:color w:val="000000"/>
                              <w:sz w:val="20"/>
                              <w:szCs w:val="20"/>
                            </w:rPr>
                            <w:t>Hizmete Özel (Dış Taraflar) &amp; Kişisel Veri İçermez - Confidential External Parties &amp; No Personal Data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95DD88A" id="_x0000_t202" coordsize="21600,21600" o:spt="202" path="m,l,21600r21600,l21600,xe">
              <v:stroke joinstyle="miter"/>
              <v:path gradientshapeok="t" o:connecttype="rect"/>
            </v:shapetype>
            <v:shape id="Metin Kutusu 2" o:spid="_x0000_s1027" type="#_x0000_t202" alt="Hizmete Özel (Dış Taraflar) &amp; Kişisel Veri İçermez - Confidential External Parties &amp; No Personal Data" style="position:absolute;margin-left:0;margin-top:0;width:422.4pt;height:27.2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" filled="f" stroked="f">
              <v:textbox style="mso-fit-shape-to-text:t" inset="20pt,0,0,15pt">
                <w:txbxContent>
                  <w:p w14:paraId="7F499C55" w14:textId="45FF74EB" w:rsidR="00590832" w:rsidRPr="00590832" w:rsidRDefault="00590832" w:rsidP="00590832">
                    <w:pPr>
                      <w:rPr>
                        <w:rFonts w:cs="Calibri"/>
                        <w:noProof/>
                        <w:color w:val="000000"/>
                        <w:sz w:val="20"/>
                        <w:szCs w:val="20"/>
                      </w:rPr>
                    </w:pPr>
                    <w:r w:rsidRPr="00590832">
                      <w:rPr>
                        <w:rFonts w:cs="Calibri"/>
                        <w:noProof/>
                        <w:color w:val="000000"/>
                        <w:sz w:val="20"/>
                        <w:szCs w:val="20"/>
                      </w:rPr>
                      <w:t>Hizmete Özel (Dış Taraflar) &amp; Kişisel Veri İçermez - Confidential External Parties &amp; No Personal Data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68906" w14:textId="47CD6E37" w:rsidR="00590832" w:rsidRDefault="00316EDF">
    <w:pPr>
      <w:pStyle w:val="AltBilgi"/>
    </w:pPr>
    <w:r>
      <w:rPr>
        <w:noProof/>
        <w:lang w:val="tr-TR" w:eastAsia="tr-TR"/>
        <w14:ligatures w14:val="standardContextual"/>
      </w:rPr>
      <mc:AlternateContent>
        <mc:Choice Requires="wps">
          <w:drawing>
            <wp:anchor distT="0" distB="0" distL="114300" distR="114300" simplePos="0" relativeHeight="251662336" behindDoc="1" locked="0" layoutInCell="1" allowOverlap="1" wp14:anchorId="2F0A020F" wp14:editId="7DA06D2B">
              <wp:simplePos x="0" y="0"/>
              <wp:positionH relativeFrom="page">
                <wp:align>center</wp:align>
              </wp:positionH>
              <wp:positionV relativeFrom="page">
                <wp:align>bottom</wp:align>
              </wp:positionV>
              <wp:extent cx="2274570" cy="427355"/>
              <wp:effectExtent l="0" t="0" r="0" b="0"/>
              <wp:wrapNone/>
              <wp:docPr id="4" name="geodi_dlp_footer_center"/>
              <wp:cNvGraphicFramePr/>
              <a:graphic xmlns:a="http://schemas.openxmlformats.org/drawingml/2006/main">
                <a:graphicData uri="http://schemas.microsoft.com/office/word/2010/wordprocessingShape">
                  <wps:wsp>
                    <wps:cNvSpPr txBox="1"/>
                    <wps:spPr>
                      <a:xfrm>
                        <a:off x="0" y="0"/>
                        <a:ext cx="2274570" cy="42735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96C7FEB" w14:textId="50B08E9B" w:rsidR="00316EDF" w:rsidRDefault="00316EDF" w:rsidP="00316EDF">
                          <w:pPr>
                            <w:jc w:val="center"/>
                          </w:pPr>
                          <w:r w:rsidRPr="00316EDF">
                            <w:rPr>
                              <w:rFonts w:ascii="Times New Roman" w:hAnsi="Times New Roman"/>
                              <w:color w:val="FFFFFF"/>
                              <w:sz w:val="16"/>
                              <w14:textFill>
                                <w14:solidFill>
                                  <w14:srgbClr w14:val="FFFFFF">
                                    <w14:alpha w14:val="20000"/>
                                  </w14:srgbClr>
                                </w14:solidFill>
                              </w14:textFill>
                            </w:rPr>
                            <w:t>BGYS</w:t>
                          </w:r>
                          <w:r w:rsidRPr="00316EDF">
                            <w:rPr>
                              <w:rFonts w:ascii="Times New Roman" w:hAnsi="Times New Roman"/>
                              <w:color w:val="FF0000"/>
                              <w:sz w:val="20"/>
                              <w14:textFill>
                                <w14:solidFill>
                                  <w14:srgbClr w14:val="FF0000">
                                    <w14:alpha w14:val="20000"/>
                                  </w14:srgbClr>
                                </w14:solidFill>
                              </w14:textFill>
                            </w:rPr>
                            <w:t>HİZMETE ÖZEL</w:t>
                          </w:r>
                          <w:r w:rsidRPr="00316EDF">
                            <w:rPr>
                              <w:rFonts w:ascii="Times New Roman" w:hAnsi="Times New Roman"/>
                              <w:color w:val="FFFFFF"/>
                              <w:sz w:val="16"/>
                              <w14:textFill>
                                <w14:solidFill>
                                  <w14:srgbClr w14:val="FFFFFF">
                                    <w14:alpha w14:val="20000"/>
                                  </w14:srgbClr>
                                </w14:solidFill>
                              </w14:textFill>
                            </w:rPr>
                            <w:t>BGYS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F0A020F" id="_x0000_t202" coordsize="21600,21600" o:spt="202" path="m,l,21600r21600,l21600,xe">
              <v:stroke joinstyle="miter"/>
              <v:path gradientshapeok="t" o:connecttype="rect"/>
            </v:shapetype>
            <v:shape id="geodi_dlp_footer_center" o:spid="_x0000_s1028" type="#_x0000_t202" style="position:absolute;margin-left:0;margin-top:0;width:179.1pt;height:33.65pt;z-index:-25165414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" filled="f" stroked="f" strokeweight=".5pt">
              <v:fill o:detectmouseclick="t"/>
              <v:textbox>
                <w:txbxContent>
                  <w:p w14:paraId="796C7FEB" w14:textId="50B08E9B" w:rsidR="00316EDF" w:rsidRDefault="00316EDF" w:rsidP="00316EDF">
                    <w:pPr>
                      <w:jc w:val="center"/>
                    </w:pPr>
                    <w:r w:rsidRPr="00316EDF">
                      <w:rPr>
                        <w:rFonts w:ascii="Times New Roman" w:hAnsi="Times New Roman"/>
                        <w:color w:val="FFFFFF"/>
                        <w:sz w:val="16"/>
                        <w14:textFill>
                          <w14:solidFill>
                            <w14:srgbClr w14:val="FFFFFF">
                              <w14:alpha w14:val="20000"/>
                            </w14:srgbClr>
                          </w14:solidFill>
                        </w14:textFill>
                      </w:rPr>
                      <w:t>BGYS</w:t>
                    </w:r>
                    <w:r w:rsidRPr="00316EDF">
                      <w:rPr>
                        <w:rFonts w:ascii="Times New Roman" w:hAnsi="Times New Roman"/>
                        <w:color w:val="FF0000"/>
                        <w:sz w:val="20"/>
                        <w14:textFill>
                          <w14:solidFill>
                            <w14:srgbClr w14:val="FF0000">
                              <w14:alpha w14:val="20000"/>
                            </w14:srgbClr>
                          </w14:solidFill>
                        </w14:textFill>
                      </w:rPr>
                      <w:t>HİZMETE ÖZEL</w:t>
                    </w:r>
                    <w:r w:rsidRPr="00316EDF">
                      <w:rPr>
                        <w:rFonts w:ascii="Times New Roman" w:hAnsi="Times New Roman"/>
                        <w:color w:val="FFFFFF"/>
                        <w:sz w:val="16"/>
                        <w14:textFill>
                          <w14:solidFill>
                            <w14:srgbClr w14:val="FFFFFF">
                              <w14:alpha w14:val="20000"/>
                            </w14:srgbClr>
                          </w14:solidFill>
                        </w14:textFill>
                      </w:rPr>
                      <w:t>BGYS</w:t>
                    </w:r>
                  </w:p>
                </w:txbxContent>
              </v:textbox>
              <w10:wrap anchorx="page" anchory="page"/>
            </v:shape>
          </w:pict>
        </mc:Fallback>
      </mc:AlternateContent>
    </w:r>
    <w:r w:rsidR="00590832">
      <w:rPr>
        <w:noProof/>
        <w:lang w:val="tr-TR" w:eastAsia="tr-TR"/>
        <w14:ligatures w14:val="standardContextual"/>
      </w:rPr>
      <mc:AlternateContent>
        <mc:Choice Requires="wps">
          <w:drawing>
            <wp:anchor distT="0" distB="0" distL="0" distR="0" simplePos="0" relativeHeight="251660288" behindDoc="0" locked="0" layoutInCell="1" allowOverlap="1" wp14:anchorId="3CE534D8" wp14:editId="79A9263B">
              <wp:simplePos x="914400" y="7134447"/>
              <wp:positionH relativeFrom="page">
                <wp:align>left</wp:align>
              </wp:positionH>
              <wp:positionV relativeFrom="page">
                <wp:align>bottom</wp:align>
              </wp:positionV>
              <wp:extent cx="5364480" cy="345440"/>
              <wp:effectExtent l="0" t="0" r="7620" b="0"/>
              <wp:wrapNone/>
              <wp:docPr id="1409287423" name="Metin Kutusu 3" descr="Hizmete Özel (Dış Taraflar) &amp; Kişisel Veri İçermez - Confidential External Parties &amp; No Personal Dat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364480" cy="345440"/>
                      </a:xfrm>
                      <a:prstGeom prst="rect">
                        <a:avLst/>
                      </a:prstGeom>
                      <a:noFill/>
                      <a:ln>
                        <a:noFill/>
                      </a:ln>
                    </wps:spPr>
                    <wps:txbx>
                      <w:txbxContent>
                        <w:p w14:paraId="1EB70F7A" w14:textId="78C9C7F9" w:rsidR="00590832" w:rsidRPr="00590832" w:rsidRDefault="00590832" w:rsidP="00590832">
                          <w:pPr>
                            <w:rPr>
                              <w:rFonts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 w14:anchorId="3CE534D8" id="Metin Kutusu 3" o:spid="_x0000_s1029" type="#_x0000_t202" alt="Hizmete Özel (Dış Taraflar) &amp; Kişisel Veri İçermez - Confidential External Parties &amp; No Personal Data" style="position:absolute;margin-left:0;margin-top:0;width:422.4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" filled="f" stroked="f">
              <v:textbox style="mso-fit-shape-to-text:t" inset="20pt,0,0,15pt">
                <w:txbxContent>
                  <w:p w14:paraId="1EB70F7A" w14:textId="78C9C7F9" w:rsidR="00590832" w:rsidRPr="00590832" w:rsidRDefault="00590832" w:rsidP="00590832">
                    <w:pPr>
                      <w:rPr>
                        <w:rFonts w:cs="Calibri"/>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85B5B" w14:textId="31B9300E" w:rsidR="00590832" w:rsidRDefault="00590832">
    <w:pPr>
      <w:pStyle w:val="AltBilgi"/>
    </w:pPr>
    <w:r>
      <w:rPr>
        <w:noProof/>
        <w:lang w:val="tr-TR" w:eastAsia="tr-TR"/>
        <w14:ligatures w14:val="standardContextual"/>
      </w:rPr>
      <mc:AlternateContent>
        <mc:Choice Requires="wps">
          <w:drawing>
            <wp:anchor distT="0" distB="0" distL="0" distR="0" simplePos="0" relativeHeight="251658240" behindDoc="0" locked="0" layoutInCell="1" allowOverlap="1" wp14:anchorId="287543E8" wp14:editId="2460C460">
              <wp:simplePos x="635" y="635"/>
              <wp:positionH relativeFrom="page">
                <wp:align>left</wp:align>
              </wp:positionH>
              <wp:positionV relativeFrom="page">
                <wp:align>bottom</wp:align>
              </wp:positionV>
              <wp:extent cx="5364480" cy="345440"/>
              <wp:effectExtent l="0" t="0" r="7620" b="0"/>
              <wp:wrapNone/>
              <wp:docPr id="764111371" name="Metin Kutusu 1" descr="Hizmete Özel (Dış Taraflar) &amp; Kişisel Veri İçermez - Confidential External Parties &amp; No Personal Dat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364480" cy="345440"/>
                      </a:xfrm>
                      <a:prstGeom prst="rect">
                        <a:avLst/>
                      </a:prstGeom>
                      <a:noFill/>
                      <a:ln>
                        <a:noFill/>
                      </a:ln>
                    </wps:spPr>
                    <wps:txbx>
                      <w:txbxContent>
                        <w:p w14:paraId="25AE9E49" w14:textId="36FB226C" w:rsidR="00590832" w:rsidRPr="00590832" w:rsidRDefault="00590832" w:rsidP="00590832">
                          <w:pPr>
                            <w:rPr>
                              <w:rFonts w:cs="Calibri"/>
                              <w:noProof/>
                              <w:color w:val="000000"/>
                              <w:sz w:val="20"/>
                              <w:szCs w:val="20"/>
                            </w:rPr>
                          </w:pPr>
                          <w:r w:rsidRPr="00590832">
                            <w:rPr>
                              <w:rFonts w:cs="Calibri"/>
                              <w:noProof/>
                              <w:color w:val="000000"/>
                              <w:sz w:val="20"/>
                              <w:szCs w:val="20"/>
                            </w:rPr>
                            <w:t>Hizmete Özel (Dış Taraflar) &amp; Kişisel Veri İçermez - Confidential External Parties &amp; No Personal Data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87543E8" id="_x0000_t202" coordsize="21600,21600" o:spt="202" path="m,l,21600r21600,l21600,xe">
              <v:stroke joinstyle="miter"/>
              <v:path gradientshapeok="t" o:connecttype="rect"/>
            </v:shapetype>
            <v:shape id="Metin Kutusu 1" o:spid="_x0000_s1030" type="#_x0000_t202" alt="Hizmete Özel (Dış Taraflar) &amp; Kişisel Veri İçermez - Confidential External Parties &amp; No Personal Data" style="position:absolute;margin-left:0;margin-top:0;width:422.4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" filled="f" stroked="f">
              <v:textbox style="mso-fit-shape-to-text:t" inset="20pt,0,0,15pt">
                <w:txbxContent>
                  <w:p w14:paraId="25AE9E49" w14:textId="36FB226C" w:rsidR="00590832" w:rsidRPr="00590832" w:rsidRDefault="00590832" w:rsidP="00590832">
                    <w:pPr>
                      <w:rPr>
                        <w:rFonts w:cs="Calibri"/>
                        <w:noProof/>
                        <w:color w:val="000000"/>
                        <w:sz w:val="20"/>
                        <w:szCs w:val="20"/>
                      </w:rPr>
                    </w:pPr>
                    <w:r w:rsidRPr="00590832">
                      <w:rPr>
                        <w:rFonts w:cs="Calibri"/>
                        <w:noProof/>
                        <w:color w:val="000000"/>
                        <w:sz w:val="20"/>
                        <w:szCs w:val="20"/>
                      </w:rPr>
                      <w:t>Hizmete Özel (Dış Taraflar) &amp; Kişisel Veri İçermez - Confidential External Parties &amp; No Personal Data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79C0A" w14:textId="77777777" w:rsidR="00C434FA" w:rsidRDefault="00C434FA" w:rsidP="00590832">
      <w:r>
        <w:separator/>
      </w:r>
    </w:p>
  </w:footnote>
  <w:footnote w:type="continuationSeparator" w:id="0">
    <w:p w14:paraId="235D93E4" w14:textId="77777777" w:rsidR="00C434FA" w:rsidRDefault="00C434FA" w:rsidP="00590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BFCD3" w14:textId="77777777" w:rsidR="00D97261" w:rsidRDefault="00D97261">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58943" w14:textId="71C396A7" w:rsidR="00590832" w:rsidRPr="00590832" w:rsidRDefault="00562C11" w:rsidP="00590832">
    <w:pPr>
      <w:jc w:val="center"/>
      <w:rPr>
        <w:rFonts w:ascii="Times New Roman" w:hAnsi="Times New Roman"/>
        <w:b/>
      </w:rPr>
    </w:pPr>
    <w:r w:rsidRPr="00590832">
      <w:rPr>
        <w:rFonts w:ascii="Times New Roman" w:hAnsi="Times New Roman"/>
        <w:b/>
      </w:rPr>
      <w:t>Socar Enerji Ticaret A.Ş.</w:t>
    </w:r>
    <w:r>
      <w:rPr>
        <w:rFonts w:ascii="Times New Roman" w:hAnsi="Times New Roman"/>
        <w:b/>
      </w:rPr>
      <w:t xml:space="preserve"> Acil ŞİD Değişikliği Değerlendirme Tablosu</w:t>
    </w:r>
  </w:p>
  <w:p w14:paraId="00429D97" w14:textId="3C7081B1" w:rsidR="00590832" w:rsidRDefault="00590832">
    <w:pPr>
      <w:pStyle w:val="stBilgi"/>
    </w:pPr>
  </w:p>
  <w:p w14:paraId="04B27FA1" w14:textId="1A862BDE" w:rsidR="00590832" w:rsidRDefault="00316EDF">
    <w:pPr>
      <w:pStyle w:val="stBilgi"/>
    </w:pPr>
    <w:r>
      <w:rPr>
        <w:noProof/>
        <w14:ligatures w14:val="standardContextual"/>
      </w:rPr>
      <mc:AlternateContent>
        <mc:Choice Requires="wps">
          <w:drawing>
            <wp:anchor distT="0" distB="0" distL="114300" distR="114300" simplePos="0" relativeHeight="251661312" behindDoc="1" locked="0" layoutInCell="1" allowOverlap="1" wp14:anchorId="284DA80F" wp14:editId="216D9B33">
              <wp:simplePos x="0" y="0"/>
              <wp:positionH relativeFrom="page">
                <wp:align>center</wp:align>
              </wp:positionH>
              <wp:positionV relativeFrom="page">
                <wp:align>top</wp:align>
              </wp:positionV>
              <wp:extent cx="2274570" cy="427355"/>
              <wp:effectExtent l="0" t="0" r="0" b="0"/>
              <wp:wrapNone/>
              <wp:docPr id="3" name="geodi_dlp_header_center"/>
              <wp:cNvGraphicFramePr/>
              <a:graphic xmlns:a="http://schemas.openxmlformats.org/drawingml/2006/main">
                <a:graphicData uri="http://schemas.microsoft.com/office/word/2010/wordprocessingShape">
                  <wps:wsp>
                    <wps:cNvSpPr txBox="1"/>
                    <wps:spPr>
                      <a:xfrm>
                        <a:off x="0" y="0"/>
                        <a:ext cx="2274570" cy="42735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E5C5049" w14:textId="37BE5C99" w:rsidR="00316EDF" w:rsidRDefault="00316EDF" w:rsidP="00316EDF">
                          <w:pPr>
                            <w:spacing w:before="240"/>
                            <w:jc w:val="center"/>
                          </w:pPr>
                          <w:r w:rsidRPr="00316EDF">
                            <w:rPr>
                              <w:rFonts w:ascii="Times New Roman" w:hAnsi="Times New Roman"/>
                              <w:color w:val="FFFFFF"/>
                              <w:sz w:val="16"/>
                              <w14:textFill>
                                <w14:solidFill>
                                  <w14:srgbClr w14:val="FFFFFF">
                                    <w14:alpha w14:val="20000"/>
                                  </w14:srgbClr>
                                </w14:solidFill>
                              </w14:textFill>
                            </w:rPr>
                            <w:t>BGYS</w:t>
                          </w:r>
                          <w:r w:rsidRPr="00316EDF">
                            <w:rPr>
                              <w:rFonts w:ascii="Times New Roman" w:hAnsi="Times New Roman"/>
                              <w:color w:val="FF0000"/>
                              <w:sz w:val="20"/>
                              <w14:textFill>
                                <w14:solidFill>
                                  <w14:srgbClr w14:val="FF0000">
                                    <w14:alpha w14:val="20000"/>
                                  </w14:srgbClr>
                                </w14:solidFill>
                              </w14:textFill>
                            </w:rPr>
                            <w:t>HİZMETE ÖZEL</w:t>
                          </w:r>
                          <w:r w:rsidRPr="00316EDF">
                            <w:rPr>
                              <w:rFonts w:ascii="Times New Roman" w:hAnsi="Times New Roman"/>
                              <w:color w:val="FFFFFF"/>
                              <w:sz w:val="16"/>
                              <w14:textFill>
                                <w14:solidFill>
                                  <w14:srgbClr w14:val="FFFFFF">
                                    <w14:alpha w14:val="20000"/>
                                  </w14:srgbClr>
                                </w14:solidFill>
                              </w14:textFill>
                            </w:rPr>
                            <w:t>BGYS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84DA80F" id="_x0000_t202" coordsize="21600,21600" o:spt="202" path="m,l,21600r21600,l21600,xe">
              <v:stroke joinstyle="miter"/>
              <v:path gradientshapeok="t" o:connecttype="rect"/>
            </v:shapetype>
            <v:shape id="geodi_dlp_header_center" o:spid="_x0000_s1026" type="#_x0000_t202" style="position:absolute;margin-left:0;margin-top:0;width:179.1pt;height:33.65pt;z-index:-251655168;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" filled="f" stroked="f" strokeweight=".5pt">
              <v:fill o:detectmouseclick="t"/>
              <v:textbox>
                <w:txbxContent>
                  <w:p w14:paraId="7E5C5049" w14:textId="37BE5C99" w:rsidR="00316EDF" w:rsidRDefault="00316EDF" w:rsidP="00316EDF">
                    <w:pPr>
                      <w:spacing w:before="240"/>
                      <w:jc w:val="center"/>
                    </w:pPr>
                    <w:r w:rsidRPr="00316EDF">
                      <w:rPr>
                        <w:rFonts w:ascii="Times New Roman" w:hAnsi="Times New Roman"/>
                        <w:color w:val="FFFFFF"/>
                        <w:sz w:val="16"/>
                        <w14:textFill>
                          <w14:solidFill>
                            <w14:srgbClr w14:val="FFFFFF">
                              <w14:alpha w14:val="20000"/>
                            </w14:srgbClr>
                          </w14:solidFill>
                        </w14:textFill>
                      </w:rPr>
                      <w:t>BGYS</w:t>
                    </w:r>
                    <w:r w:rsidRPr="00316EDF">
                      <w:rPr>
                        <w:rFonts w:ascii="Times New Roman" w:hAnsi="Times New Roman"/>
                        <w:color w:val="FF0000"/>
                        <w:sz w:val="20"/>
                        <w14:textFill>
                          <w14:solidFill>
                            <w14:srgbClr w14:val="FF0000">
                              <w14:alpha w14:val="20000"/>
                            </w14:srgbClr>
                          </w14:solidFill>
                        </w14:textFill>
                      </w:rPr>
                      <w:t>HİZMETE ÖZEL</w:t>
                    </w:r>
                    <w:r w:rsidRPr="00316EDF">
                      <w:rPr>
                        <w:rFonts w:ascii="Times New Roman" w:hAnsi="Times New Roman"/>
                        <w:color w:val="FFFFFF"/>
                        <w:sz w:val="16"/>
                        <w14:textFill>
                          <w14:solidFill>
                            <w14:srgbClr w14:val="FFFFFF">
                              <w14:alpha w14:val="20000"/>
                            </w14:srgbClr>
                          </w14:solidFill>
                        </w14:textFill>
                      </w:rPr>
                      <w:t>BGYS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14FD9" w14:textId="77777777" w:rsidR="00D97261" w:rsidRDefault="00D97261">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2D4CE2"/>
    <w:multiLevelType w:val="hybridMultilevel"/>
    <w:tmpl w:val="5C16132C"/>
    <w:lvl w:ilvl="0" w:tplc="97763312">
      <w:numFmt w:val="bullet"/>
      <w:lvlText w:val="-"/>
      <w:lvlJc w:val="left"/>
      <w:pPr>
        <w:ind w:left="1429" w:hanging="360"/>
      </w:pPr>
      <w:rPr>
        <w:rFonts w:ascii="Times New Roman" w:eastAsia="Times New Roman" w:hAnsi="Times New Roman" w:cs="Times New Roman"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en-US" w:vendorID="64" w:dllVersion="6" w:nlCheck="1" w:checkStyle="0"/>
  <w:activeWritingStyle w:appName="MSWord" w:lang="en-US" w:vendorID="64" w:dllVersion="4096" w:nlCheck="1" w:checkStyle="0"/>
  <w:activeWritingStyle w:appName="MSWord" w:lang="tr-TR" w:vendorID="64" w:dllVersion="4096" w:nlCheck="1" w:checkStyle="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832"/>
    <w:rsid w:val="00000931"/>
    <w:rsid w:val="00001C65"/>
    <w:rsid w:val="000165F5"/>
    <w:rsid w:val="000353F3"/>
    <w:rsid w:val="00046F81"/>
    <w:rsid w:val="000521DC"/>
    <w:rsid w:val="00063A57"/>
    <w:rsid w:val="00085B4B"/>
    <w:rsid w:val="000B0FD8"/>
    <w:rsid w:val="000B4AC3"/>
    <w:rsid w:val="000C5B40"/>
    <w:rsid w:val="000D0851"/>
    <w:rsid w:val="000E1ECC"/>
    <w:rsid w:val="000F0282"/>
    <w:rsid w:val="000F043F"/>
    <w:rsid w:val="000F7E00"/>
    <w:rsid w:val="00101B2A"/>
    <w:rsid w:val="001209FC"/>
    <w:rsid w:val="0012244E"/>
    <w:rsid w:val="00140687"/>
    <w:rsid w:val="0014092A"/>
    <w:rsid w:val="00172662"/>
    <w:rsid w:val="001838B0"/>
    <w:rsid w:val="001C3324"/>
    <w:rsid w:val="001E3002"/>
    <w:rsid w:val="001F22F8"/>
    <w:rsid w:val="002248AE"/>
    <w:rsid w:val="00243787"/>
    <w:rsid w:val="00247B68"/>
    <w:rsid w:val="002579B3"/>
    <w:rsid w:val="002631C4"/>
    <w:rsid w:val="00263CAF"/>
    <w:rsid w:val="00267906"/>
    <w:rsid w:val="002717E3"/>
    <w:rsid w:val="002820E1"/>
    <w:rsid w:val="002870B2"/>
    <w:rsid w:val="00291C22"/>
    <w:rsid w:val="002A3726"/>
    <w:rsid w:val="002B4032"/>
    <w:rsid w:val="002B46BC"/>
    <w:rsid w:val="002E597B"/>
    <w:rsid w:val="00301DF8"/>
    <w:rsid w:val="00316EDF"/>
    <w:rsid w:val="00335C79"/>
    <w:rsid w:val="003435CA"/>
    <w:rsid w:val="00375384"/>
    <w:rsid w:val="003A4FB2"/>
    <w:rsid w:val="003E0B34"/>
    <w:rsid w:val="00451490"/>
    <w:rsid w:val="004E66DD"/>
    <w:rsid w:val="00501155"/>
    <w:rsid w:val="0052687A"/>
    <w:rsid w:val="00532D66"/>
    <w:rsid w:val="00534E33"/>
    <w:rsid w:val="0054032C"/>
    <w:rsid w:val="00562C11"/>
    <w:rsid w:val="00585FB2"/>
    <w:rsid w:val="00590832"/>
    <w:rsid w:val="005B1E20"/>
    <w:rsid w:val="005B425A"/>
    <w:rsid w:val="005C55AD"/>
    <w:rsid w:val="00603D4C"/>
    <w:rsid w:val="00630F6D"/>
    <w:rsid w:val="00647E12"/>
    <w:rsid w:val="00661AF3"/>
    <w:rsid w:val="00670349"/>
    <w:rsid w:val="00692B27"/>
    <w:rsid w:val="006A212A"/>
    <w:rsid w:val="006B344B"/>
    <w:rsid w:val="006D4F75"/>
    <w:rsid w:val="006D71BB"/>
    <w:rsid w:val="00707114"/>
    <w:rsid w:val="007106F9"/>
    <w:rsid w:val="00713E48"/>
    <w:rsid w:val="00725B0C"/>
    <w:rsid w:val="00727B3F"/>
    <w:rsid w:val="007438CA"/>
    <w:rsid w:val="00746962"/>
    <w:rsid w:val="007556C2"/>
    <w:rsid w:val="00757B25"/>
    <w:rsid w:val="007634AD"/>
    <w:rsid w:val="00764613"/>
    <w:rsid w:val="00771042"/>
    <w:rsid w:val="007875E6"/>
    <w:rsid w:val="007B5115"/>
    <w:rsid w:val="007E3D4A"/>
    <w:rsid w:val="007E6A25"/>
    <w:rsid w:val="007F5C8D"/>
    <w:rsid w:val="007F70A1"/>
    <w:rsid w:val="00800AF2"/>
    <w:rsid w:val="0080245B"/>
    <w:rsid w:val="008025E9"/>
    <w:rsid w:val="008064FC"/>
    <w:rsid w:val="0083682D"/>
    <w:rsid w:val="0083755C"/>
    <w:rsid w:val="0084111C"/>
    <w:rsid w:val="00865432"/>
    <w:rsid w:val="0089050D"/>
    <w:rsid w:val="0089602E"/>
    <w:rsid w:val="008A142A"/>
    <w:rsid w:val="008E0E47"/>
    <w:rsid w:val="008E2A0D"/>
    <w:rsid w:val="00910A63"/>
    <w:rsid w:val="00911A75"/>
    <w:rsid w:val="00913785"/>
    <w:rsid w:val="009415BD"/>
    <w:rsid w:val="00970F07"/>
    <w:rsid w:val="0097228C"/>
    <w:rsid w:val="00975E49"/>
    <w:rsid w:val="0098608A"/>
    <w:rsid w:val="00986419"/>
    <w:rsid w:val="009A36B5"/>
    <w:rsid w:val="009A5B73"/>
    <w:rsid w:val="009B5730"/>
    <w:rsid w:val="009C13A4"/>
    <w:rsid w:val="00A02763"/>
    <w:rsid w:val="00A055D1"/>
    <w:rsid w:val="00A41A85"/>
    <w:rsid w:val="00A428FD"/>
    <w:rsid w:val="00A5136D"/>
    <w:rsid w:val="00A53E91"/>
    <w:rsid w:val="00A96987"/>
    <w:rsid w:val="00AA06E9"/>
    <w:rsid w:val="00AB4D34"/>
    <w:rsid w:val="00AE50AF"/>
    <w:rsid w:val="00AE79CA"/>
    <w:rsid w:val="00B14835"/>
    <w:rsid w:val="00B34250"/>
    <w:rsid w:val="00B4505F"/>
    <w:rsid w:val="00B4642A"/>
    <w:rsid w:val="00B466DF"/>
    <w:rsid w:val="00B53F3A"/>
    <w:rsid w:val="00B54B61"/>
    <w:rsid w:val="00B6520F"/>
    <w:rsid w:val="00B80CC8"/>
    <w:rsid w:val="00B9559A"/>
    <w:rsid w:val="00BD3597"/>
    <w:rsid w:val="00BD3752"/>
    <w:rsid w:val="00BE32A7"/>
    <w:rsid w:val="00BE38A1"/>
    <w:rsid w:val="00C22497"/>
    <w:rsid w:val="00C37FE3"/>
    <w:rsid w:val="00C434FA"/>
    <w:rsid w:val="00C63879"/>
    <w:rsid w:val="00C70E17"/>
    <w:rsid w:val="00C73DB8"/>
    <w:rsid w:val="00C74BE3"/>
    <w:rsid w:val="00C90A62"/>
    <w:rsid w:val="00CA000B"/>
    <w:rsid w:val="00CB2A1A"/>
    <w:rsid w:val="00CB35D3"/>
    <w:rsid w:val="00CC016A"/>
    <w:rsid w:val="00D0344D"/>
    <w:rsid w:val="00D20036"/>
    <w:rsid w:val="00D4686D"/>
    <w:rsid w:val="00D51EF1"/>
    <w:rsid w:val="00D76E7F"/>
    <w:rsid w:val="00D96499"/>
    <w:rsid w:val="00D97261"/>
    <w:rsid w:val="00DA0765"/>
    <w:rsid w:val="00DB02DC"/>
    <w:rsid w:val="00DB0CC9"/>
    <w:rsid w:val="00DB11E2"/>
    <w:rsid w:val="00DC2055"/>
    <w:rsid w:val="00DC6021"/>
    <w:rsid w:val="00DF7FF5"/>
    <w:rsid w:val="00E00424"/>
    <w:rsid w:val="00E02D51"/>
    <w:rsid w:val="00E273A9"/>
    <w:rsid w:val="00E67879"/>
    <w:rsid w:val="00E70DBF"/>
    <w:rsid w:val="00E87E1A"/>
    <w:rsid w:val="00E967E7"/>
    <w:rsid w:val="00EA545E"/>
    <w:rsid w:val="00EB17C9"/>
    <w:rsid w:val="00EB5A21"/>
    <w:rsid w:val="00ED1F97"/>
    <w:rsid w:val="00ED5623"/>
    <w:rsid w:val="00EE0677"/>
    <w:rsid w:val="00F158B0"/>
    <w:rsid w:val="00F16678"/>
    <w:rsid w:val="00F236F8"/>
    <w:rsid w:val="00F24EBF"/>
    <w:rsid w:val="00F408A5"/>
    <w:rsid w:val="00F52012"/>
    <w:rsid w:val="00F524C1"/>
    <w:rsid w:val="00F555AE"/>
    <w:rsid w:val="00F71703"/>
    <w:rsid w:val="00F84894"/>
    <w:rsid w:val="00FA0811"/>
    <w:rsid w:val="00FA5768"/>
    <w:rsid w:val="00FD3161"/>
    <w:rsid w:val="00FF1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2AA8D7"/>
  <w15:chartTrackingRefBased/>
  <w15:docId w15:val="{DADEC7F9-D2AC-4551-BCF1-431645A43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832"/>
    <w:pPr>
      <w:spacing w:after="0" w:line="240" w:lineRule="auto"/>
    </w:pPr>
    <w:rPr>
      <w:rFonts w:ascii="Calibri" w:eastAsia="Calibri" w:hAnsi="Calibri" w:cs="Times New Roman"/>
      <w:kern w:val="0"/>
      <w:sz w:val="24"/>
      <w:szCs w:val="24"/>
      <w14:ligatures w14:val="none"/>
    </w:rPr>
  </w:style>
  <w:style w:type="paragraph" w:styleId="Balk1">
    <w:name w:val="heading 1"/>
    <w:basedOn w:val="Normal"/>
    <w:next w:val="Normal"/>
    <w:link w:val="Balk1Char"/>
    <w:uiPriority w:val="9"/>
    <w:qFormat/>
    <w:rsid w:val="0059083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alk2">
    <w:name w:val="heading 2"/>
    <w:basedOn w:val="Normal"/>
    <w:next w:val="Normal"/>
    <w:link w:val="Balk2Char"/>
    <w:uiPriority w:val="9"/>
    <w:semiHidden/>
    <w:unhideWhenUsed/>
    <w:qFormat/>
    <w:rsid w:val="0059083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alk3">
    <w:name w:val="heading 3"/>
    <w:basedOn w:val="Normal"/>
    <w:next w:val="Normal"/>
    <w:link w:val="Balk3Char"/>
    <w:uiPriority w:val="9"/>
    <w:semiHidden/>
    <w:unhideWhenUsed/>
    <w:qFormat/>
    <w:rsid w:val="00590832"/>
    <w:pPr>
      <w:keepNext/>
      <w:keepLines/>
      <w:spacing w:before="160" w:after="80"/>
      <w:outlineLvl w:val="2"/>
    </w:pPr>
    <w:rPr>
      <w:rFonts w:eastAsiaTheme="majorEastAsia" w:cstheme="majorBidi"/>
      <w:color w:val="2E74B5" w:themeColor="accent1" w:themeShade="BF"/>
      <w:sz w:val="28"/>
      <w:szCs w:val="28"/>
    </w:rPr>
  </w:style>
  <w:style w:type="paragraph" w:styleId="Balk4">
    <w:name w:val="heading 4"/>
    <w:basedOn w:val="Normal"/>
    <w:next w:val="Normal"/>
    <w:link w:val="Balk4Char"/>
    <w:uiPriority w:val="9"/>
    <w:semiHidden/>
    <w:unhideWhenUsed/>
    <w:qFormat/>
    <w:rsid w:val="00590832"/>
    <w:pPr>
      <w:keepNext/>
      <w:keepLines/>
      <w:spacing w:before="80" w:after="40"/>
      <w:outlineLvl w:val="3"/>
    </w:pPr>
    <w:rPr>
      <w:rFonts w:eastAsiaTheme="majorEastAsia" w:cstheme="majorBidi"/>
      <w:i/>
      <w:iCs/>
      <w:color w:val="2E74B5" w:themeColor="accent1" w:themeShade="BF"/>
    </w:rPr>
  </w:style>
  <w:style w:type="paragraph" w:styleId="Balk5">
    <w:name w:val="heading 5"/>
    <w:basedOn w:val="Normal"/>
    <w:next w:val="Normal"/>
    <w:link w:val="Balk5Char"/>
    <w:uiPriority w:val="9"/>
    <w:semiHidden/>
    <w:unhideWhenUsed/>
    <w:qFormat/>
    <w:rsid w:val="00590832"/>
    <w:pPr>
      <w:keepNext/>
      <w:keepLines/>
      <w:spacing w:before="80" w:after="40"/>
      <w:outlineLvl w:val="4"/>
    </w:pPr>
    <w:rPr>
      <w:rFonts w:eastAsiaTheme="majorEastAsia" w:cstheme="majorBidi"/>
      <w:color w:val="2E74B5" w:themeColor="accent1" w:themeShade="BF"/>
    </w:rPr>
  </w:style>
  <w:style w:type="paragraph" w:styleId="Balk6">
    <w:name w:val="heading 6"/>
    <w:basedOn w:val="Normal"/>
    <w:next w:val="Normal"/>
    <w:link w:val="Balk6Char"/>
    <w:uiPriority w:val="9"/>
    <w:semiHidden/>
    <w:unhideWhenUsed/>
    <w:qFormat/>
    <w:rsid w:val="00590832"/>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590832"/>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590832"/>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590832"/>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0832"/>
    <w:rPr>
      <w:rFonts w:asciiTheme="majorHAnsi" w:eastAsiaTheme="majorEastAsia" w:hAnsiTheme="majorHAnsi" w:cstheme="majorBidi"/>
      <w:color w:val="2E74B5" w:themeColor="accent1" w:themeShade="BF"/>
      <w:sz w:val="40"/>
      <w:szCs w:val="40"/>
    </w:rPr>
  </w:style>
  <w:style w:type="character" w:customStyle="1" w:styleId="Balk2Char">
    <w:name w:val="Başlık 2 Char"/>
    <w:basedOn w:val="VarsaylanParagrafYazTipi"/>
    <w:link w:val="Balk2"/>
    <w:uiPriority w:val="9"/>
    <w:semiHidden/>
    <w:rsid w:val="00590832"/>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semiHidden/>
    <w:rsid w:val="00590832"/>
    <w:rPr>
      <w:rFonts w:eastAsiaTheme="majorEastAsia" w:cstheme="majorBidi"/>
      <w:color w:val="2E74B5" w:themeColor="accent1" w:themeShade="BF"/>
      <w:sz w:val="28"/>
      <w:szCs w:val="28"/>
    </w:rPr>
  </w:style>
  <w:style w:type="character" w:customStyle="1" w:styleId="Balk4Char">
    <w:name w:val="Başlık 4 Char"/>
    <w:basedOn w:val="VarsaylanParagrafYazTipi"/>
    <w:link w:val="Balk4"/>
    <w:uiPriority w:val="9"/>
    <w:semiHidden/>
    <w:rsid w:val="00590832"/>
    <w:rPr>
      <w:rFonts w:eastAsiaTheme="majorEastAsia" w:cstheme="majorBidi"/>
      <w:i/>
      <w:iCs/>
      <w:color w:val="2E74B5" w:themeColor="accent1" w:themeShade="BF"/>
    </w:rPr>
  </w:style>
  <w:style w:type="character" w:customStyle="1" w:styleId="Balk5Char">
    <w:name w:val="Başlık 5 Char"/>
    <w:basedOn w:val="VarsaylanParagrafYazTipi"/>
    <w:link w:val="Balk5"/>
    <w:uiPriority w:val="9"/>
    <w:semiHidden/>
    <w:rsid w:val="00590832"/>
    <w:rPr>
      <w:rFonts w:eastAsiaTheme="majorEastAsia" w:cstheme="majorBidi"/>
      <w:color w:val="2E74B5" w:themeColor="accent1" w:themeShade="BF"/>
    </w:rPr>
  </w:style>
  <w:style w:type="character" w:customStyle="1" w:styleId="Balk6Char">
    <w:name w:val="Başlık 6 Char"/>
    <w:basedOn w:val="VarsaylanParagrafYazTipi"/>
    <w:link w:val="Balk6"/>
    <w:uiPriority w:val="9"/>
    <w:semiHidden/>
    <w:rsid w:val="00590832"/>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590832"/>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590832"/>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590832"/>
    <w:rPr>
      <w:rFonts w:eastAsiaTheme="majorEastAsia" w:cstheme="majorBidi"/>
      <w:color w:val="272727" w:themeColor="text1" w:themeTint="D8"/>
    </w:rPr>
  </w:style>
  <w:style w:type="paragraph" w:styleId="KonuBal">
    <w:name w:val="Title"/>
    <w:basedOn w:val="Normal"/>
    <w:next w:val="Normal"/>
    <w:link w:val="KonuBalChar"/>
    <w:uiPriority w:val="10"/>
    <w:qFormat/>
    <w:rsid w:val="00590832"/>
    <w:pPr>
      <w:spacing w:after="80"/>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590832"/>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590832"/>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590832"/>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590832"/>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590832"/>
    <w:rPr>
      <w:i/>
      <w:iCs/>
      <w:color w:val="404040" w:themeColor="text1" w:themeTint="BF"/>
    </w:rPr>
  </w:style>
  <w:style w:type="paragraph" w:styleId="ListeParagraf">
    <w:name w:val="List Paragraph"/>
    <w:basedOn w:val="Normal"/>
    <w:uiPriority w:val="34"/>
    <w:qFormat/>
    <w:rsid w:val="00590832"/>
    <w:pPr>
      <w:ind w:left="720"/>
      <w:contextualSpacing/>
    </w:pPr>
  </w:style>
  <w:style w:type="character" w:styleId="GlVurgulama">
    <w:name w:val="Intense Emphasis"/>
    <w:basedOn w:val="VarsaylanParagrafYazTipi"/>
    <w:uiPriority w:val="21"/>
    <w:qFormat/>
    <w:rsid w:val="00590832"/>
    <w:rPr>
      <w:i/>
      <w:iCs/>
      <w:color w:val="2E74B5" w:themeColor="accent1" w:themeShade="BF"/>
    </w:rPr>
  </w:style>
  <w:style w:type="paragraph" w:styleId="GlAlnt">
    <w:name w:val="Intense Quote"/>
    <w:basedOn w:val="Normal"/>
    <w:next w:val="Normal"/>
    <w:link w:val="GlAlntChar"/>
    <w:uiPriority w:val="30"/>
    <w:qFormat/>
    <w:rsid w:val="0059083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GlAlntChar">
    <w:name w:val="Güçlü Alıntı Char"/>
    <w:basedOn w:val="VarsaylanParagrafYazTipi"/>
    <w:link w:val="GlAlnt"/>
    <w:uiPriority w:val="30"/>
    <w:rsid w:val="00590832"/>
    <w:rPr>
      <w:i/>
      <w:iCs/>
      <w:color w:val="2E74B5" w:themeColor="accent1" w:themeShade="BF"/>
    </w:rPr>
  </w:style>
  <w:style w:type="character" w:styleId="GlBavuru">
    <w:name w:val="Intense Reference"/>
    <w:basedOn w:val="VarsaylanParagrafYazTipi"/>
    <w:uiPriority w:val="32"/>
    <w:qFormat/>
    <w:rsid w:val="00590832"/>
    <w:rPr>
      <w:b/>
      <w:bCs/>
      <w:smallCaps/>
      <w:color w:val="2E74B5" w:themeColor="accent1" w:themeShade="BF"/>
      <w:spacing w:val="5"/>
    </w:rPr>
  </w:style>
  <w:style w:type="paragraph" w:styleId="stBilgi">
    <w:name w:val="header"/>
    <w:basedOn w:val="Normal"/>
    <w:link w:val="stBilgiChar"/>
    <w:uiPriority w:val="99"/>
    <w:unhideWhenUsed/>
    <w:rsid w:val="00590832"/>
    <w:pPr>
      <w:tabs>
        <w:tab w:val="center" w:pos="4513"/>
        <w:tab w:val="right" w:pos="9026"/>
      </w:tabs>
    </w:pPr>
  </w:style>
  <w:style w:type="character" w:customStyle="1" w:styleId="stBilgiChar">
    <w:name w:val="Üst Bilgi Char"/>
    <w:basedOn w:val="VarsaylanParagrafYazTipi"/>
    <w:link w:val="stBilgi"/>
    <w:uiPriority w:val="99"/>
    <w:rsid w:val="00590832"/>
  </w:style>
  <w:style w:type="paragraph" w:styleId="AltBilgi">
    <w:name w:val="footer"/>
    <w:basedOn w:val="Normal"/>
    <w:link w:val="AltBilgiChar"/>
    <w:uiPriority w:val="99"/>
    <w:unhideWhenUsed/>
    <w:rsid w:val="00590832"/>
    <w:pPr>
      <w:tabs>
        <w:tab w:val="center" w:pos="4513"/>
        <w:tab w:val="right" w:pos="9026"/>
      </w:tabs>
    </w:pPr>
  </w:style>
  <w:style w:type="character" w:customStyle="1" w:styleId="AltBilgiChar">
    <w:name w:val="Alt Bilgi Char"/>
    <w:basedOn w:val="VarsaylanParagrafYazTipi"/>
    <w:link w:val="AltBilgi"/>
    <w:uiPriority w:val="99"/>
    <w:rsid w:val="00590832"/>
  </w:style>
  <w:style w:type="paragraph" w:styleId="NormalWeb">
    <w:name w:val="Normal (Web)"/>
    <w:aliases w:val="Normal (Web) Char Char,Normal (Web) Char Char Char Char,Normal (Web) Char Char Char,Char"/>
    <w:basedOn w:val="Normal"/>
    <w:link w:val="NormalWebChar"/>
    <w:qFormat/>
    <w:rsid w:val="00590832"/>
    <w:pPr>
      <w:spacing w:before="100" w:beforeAutospacing="1" w:after="100" w:afterAutospacing="1"/>
    </w:pPr>
    <w:rPr>
      <w:rFonts w:ascii="Times New Roman" w:eastAsia="Times New Roman" w:hAnsi="Times New Roman"/>
      <w:lang w:val="tr-TR" w:eastAsia="tr-TR"/>
    </w:rPr>
  </w:style>
  <w:style w:type="character" w:customStyle="1" w:styleId="NormalWebChar">
    <w:name w:val="Normal (Web) Char"/>
    <w:aliases w:val="Normal (Web) Char Char Char1,Normal (Web) Char Char Char Char Char,Normal (Web) Char Char Char Char1,Char Char"/>
    <w:link w:val="NormalWeb"/>
    <w:locked/>
    <w:rsid w:val="00590832"/>
    <w:rPr>
      <w:rFonts w:ascii="Times New Roman" w:eastAsia="Times New Roman" w:hAnsi="Times New Roman" w:cs="Times New Roman"/>
      <w:kern w:val="0"/>
      <w:sz w:val="24"/>
      <w:szCs w:val="24"/>
      <w:lang w:val="tr-TR" w:eastAsia="tr-TR"/>
      <w14:ligatures w14:val="none"/>
    </w:rPr>
  </w:style>
  <w:style w:type="character" w:styleId="DipnotBavurusu">
    <w:name w:val="footnote reference"/>
    <w:semiHidden/>
    <w:rsid w:val="00590832"/>
    <w:rPr>
      <w:vertAlign w:val="superscript"/>
    </w:rPr>
  </w:style>
  <w:style w:type="paragraph" w:styleId="Dzeltme">
    <w:name w:val="Revision"/>
    <w:hidden/>
    <w:uiPriority w:val="99"/>
    <w:semiHidden/>
    <w:rsid w:val="00BE38A1"/>
    <w:pPr>
      <w:spacing w:after="0" w:line="240" w:lineRule="auto"/>
    </w:pPr>
    <w:rPr>
      <w:rFonts w:ascii="Calibri" w:eastAsia="Calibri" w:hAnsi="Calibri" w:cs="Times New Roman"/>
      <w:kern w:val="0"/>
      <w:sz w:val="24"/>
      <w:szCs w:val="24"/>
      <w14:ligatures w14:val="none"/>
    </w:rPr>
  </w:style>
  <w:style w:type="paragraph" w:styleId="BalonMetni">
    <w:name w:val="Balloon Text"/>
    <w:basedOn w:val="Normal"/>
    <w:link w:val="BalonMetniChar"/>
    <w:uiPriority w:val="99"/>
    <w:semiHidden/>
    <w:unhideWhenUsed/>
    <w:rsid w:val="005B1E2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B1E20"/>
    <w:rPr>
      <w:rFonts w:ascii="Segoe UI" w:eastAsia="Calibri" w:hAnsi="Segoe UI" w:cs="Segoe UI"/>
      <w:kern w:val="0"/>
      <w:sz w:val="18"/>
      <w:szCs w:val="18"/>
      <w14:ligatures w14:val="none"/>
    </w:rPr>
  </w:style>
  <w:style w:type="paragraph" w:customStyle="1" w:styleId="Default">
    <w:name w:val="Default"/>
    <w:rsid w:val="0089050D"/>
    <w:pPr>
      <w:autoSpaceDE w:val="0"/>
      <w:autoSpaceDN w:val="0"/>
      <w:adjustRightInd w:val="0"/>
      <w:spacing w:after="0" w:line="240" w:lineRule="auto"/>
    </w:pPr>
    <w:rPr>
      <w:rFonts w:ascii="Calibri" w:hAnsi="Calibri" w:cs="Calibri"/>
      <w:color w:val="000000"/>
      <w:kern w:val="0"/>
      <w:sz w:val="24"/>
      <w:szCs w:val="24"/>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648033">
      <w:bodyDiv w:val="1"/>
      <w:marLeft w:val="0"/>
      <w:marRight w:val="0"/>
      <w:marTop w:val="0"/>
      <w:marBottom w:val="0"/>
      <w:divBdr>
        <w:top w:val="none" w:sz="0" w:space="0" w:color="auto"/>
        <w:left w:val="none" w:sz="0" w:space="0" w:color="auto"/>
        <w:bottom w:val="none" w:sz="0" w:space="0" w:color="auto"/>
        <w:right w:val="none" w:sz="0" w:space="0" w:color="auto"/>
      </w:divBdr>
    </w:div>
    <w:div w:id="774449375">
      <w:bodyDiv w:val="1"/>
      <w:marLeft w:val="0"/>
      <w:marRight w:val="0"/>
      <w:marTop w:val="0"/>
      <w:marBottom w:val="0"/>
      <w:divBdr>
        <w:top w:val="none" w:sz="0" w:space="0" w:color="auto"/>
        <w:left w:val="none" w:sz="0" w:space="0" w:color="auto"/>
        <w:bottom w:val="none" w:sz="0" w:space="0" w:color="auto"/>
        <w:right w:val="none" w:sz="0" w:space="0" w:color="auto"/>
      </w:divBdr>
    </w:div>
    <w:div w:id="142865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F7471-ABA6-444A-8F08-4EC532906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3</Pages>
  <Words>921</Words>
  <Characters>5253</Characters>
  <Application>Microsoft Office Word</Application>
  <DocSecurity>0</DocSecurity>
  <Lines>43</Lines>
  <Paragraphs>12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SOCAR</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Hakan KOŞAR</dc:creator>
  <cp:keywords/>
  <dc:description/>
  <cp:lastModifiedBy>Burak DEMİRCİ</cp:lastModifiedBy>
  <cp:revision>35</cp:revision>
  <dcterms:created xsi:type="dcterms:W3CDTF">2025-08-27T10:22:00Z</dcterms:created>
  <dcterms:modified xsi:type="dcterms:W3CDTF">2026-10-08T11:23:00Z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2d8b6a0b,6e25a4f5,540004ff</vt:lpwstr>
  </property>
  <property fmtid="{D5CDD505-2E9C-101B-9397-08002B2CF9AE}" pid="3" name="ClassificationContentMarkingFooterFontProps">
    <vt:lpwstr>#000000,10,Calibri</vt:lpwstr>
  </property>
  <property fmtid="{D5CDD505-2E9C-101B-9397-08002B2CF9AE}" pid="4" name="ClassificationContentMarkingFooterText">
    <vt:lpwstr>Hizmete Özel (Dış Taraflar) &amp; Kişisel Veri İçermez - Confidential External Parties &amp; No Personal Data</vt:lpwstr>
  </property>
  <property fmtid="{D5CDD505-2E9C-101B-9397-08002B2CF9AE}" pid="5" name="MSIP_Label_f14b9cf2-4a56-40db-ad1c-14724245a53e_Enabled">
    <vt:lpwstr>true</vt:lpwstr>
  </property>
  <property fmtid="{D5CDD505-2E9C-101B-9397-08002B2CF9AE}" pid="6" name="MSIP_Label_f14b9cf2-4a56-40db-ad1c-14724245a53e_SetDate">
    <vt:lpwstr>2025-05-07T12:36:08Z</vt:lpwstr>
  </property>
  <property fmtid="{D5CDD505-2E9C-101B-9397-08002B2CF9AE}" pid="7" name="MSIP_Label_f14b9cf2-4a56-40db-ad1c-14724245a53e_Method">
    <vt:lpwstr>Privileged</vt:lpwstr>
  </property>
  <property fmtid="{D5CDD505-2E9C-101B-9397-08002B2CF9AE}" pid="8" name="MSIP_Label_f14b9cf2-4a56-40db-ad1c-14724245a53e_Name">
    <vt:lpwstr>Hizmete Özel Dış Taraflar - Kişisel Veri İçermez</vt:lpwstr>
  </property>
  <property fmtid="{D5CDD505-2E9C-101B-9397-08002B2CF9AE}" pid="9" name="MSIP_Label_f14b9cf2-4a56-40db-ad1c-14724245a53e_SiteId">
    <vt:lpwstr>e8ddc5d0-e92a-43c0-82d4-92fa86b23294</vt:lpwstr>
  </property>
  <property fmtid="{D5CDD505-2E9C-101B-9397-08002B2CF9AE}" pid="10" name="MSIP_Label_f14b9cf2-4a56-40db-ad1c-14724245a53e_ActionId">
    <vt:lpwstr>cb70e0b9-f6a0-45fd-ab85-1f144c36b886</vt:lpwstr>
  </property>
  <property fmtid="{D5CDD505-2E9C-101B-9397-08002B2CF9AE}" pid="11" name="MSIP_Label_f14b9cf2-4a56-40db-ad1c-14724245a53e_ContentBits">
    <vt:lpwstr>2</vt:lpwstr>
  </property>
  <property fmtid="{D5CDD505-2E9C-101B-9397-08002B2CF9AE}" pid="12" name="MSIP_Label_f14b9cf2-4a56-40db-ad1c-14724245a53e_Tag">
    <vt:lpwstr>10, 0, 1, 1</vt:lpwstr>
  </property>
  <property fmtid="{D5CDD505-2E9C-101B-9397-08002B2CF9AE}" pid="13" name="geodilabelclass">
    <vt:lpwstr>id_classification_restricted=3c9990e0-a748-41de-9d8c-db8783fa5103</vt:lpwstr>
  </property>
  <property fmtid="{D5CDD505-2E9C-101B-9397-08002B2CF9AE}" pid="14" name="geodilabeluser">
    <vt:lpwstr>user=bdemirci</vt:lpwstr>
  </property>
  <property fmtid="{D5CDD505-2E9C-101B-9397-08002B2CF9AE}" pid="15" name="geodilabeltime">
    <vt:lpwstr>datetime=2026-10-08T11:23:56.709Z</vt:lpwstr>
  </property>
</Properties>
</file>